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Policy on the use of artificial intelligence at </w:t>
      </w:r>
      <w:r>
        <w:rPr>
          <w:highlight w:val="yellow"/>
          <w:highlightCs w:val="yellow"/>
        </w:rPr>
        <w:t xml:space="preserve">[University name]</w:t>
      </w:r>
    </w:p>
    <w:p>
      <w:pPr>
        <w:spacing w:after="240"/>
      </w:pPr>
      <w:r>
        <w:rPr>
          <w:color w:val="64748B"/>
        </w:rPr>
        <w:t xml:space="preserve">Template for staff, students and research. Reflects the GDPR, the EU AI Act as amended by Regulation (EU) 2026/1744, the European Code of Conduct for Research Integrity and the Commission's Living guidelines on generative AI in research. Version 1.0, October 2026.</w:t>
      </w:r>
    </w:p>
    <w:p>
      <w:pPr>
        <w:pBdr>
          <w:left w:val="single" w:color="F59E0B" w:sz="18" w:space="8"/>
        </w:pBdr>
        <w:shd w:fill="FFFBEB" w:color="auto" w:val="clear"/>
        <w:spacing w:after="160" w:before="120"/>
      </w:pPr>
      <w:r>
        <w:rPr>
          <w:i/>
          <w:iCs/>
        </w:rPr>
        <w:t xml:space="preserve">How to use this template: replace every </w:t>
      </w:r>
      <w:r>
        <w:rPr>
          <w:i/>
          <w:iCs/>
          <w:highlight w:val="yellow"/>
          <w:highlightCs w:val="yellow"/>
        </w:rPr>
        <w:t xml:space="preserve">[placeholder]</w:t>
      </w:r>
      <w:r>
        <w:rPr>
          <w:i/>
          <w:iCs/>
        </w:rPr>
        <w:t xml:space="preserve">, delete the options that do not apply, and remove this box and all other guidance notes before adoption. The template states the law as it stood on 7 October 2026. It is not legal advice: have it reviewed by your legal office, data protection officer (DPO) and information security function, and consult staff and student representatives as your governance rules require.</w:t>
      </w:r>
    </w:p>
    <w:p>
      <w:pPr>
        <w:pStyle w:val="Heading1"/>
      </w:pPr>
      <w:r>
        <w:t xml:space="preserve">Document control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Entry</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Policy owner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[Role, for example Pro-Vice-Chancellor for Digital Transformation]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Approved by</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[Governing body, for example University Board / Senate / Executive Board]</w:t>
            </w:r>
            <w:r>
              <w:t xml:space="preserve">, </w:t>
            </w:r>
            <w:r>
              <w:rPr>
                <w:highlight w:val="yellow"/>
                <w:highlightCs w:val="yellow"/>
              </w:rPr>
              <w:t xml:space="preserve">[date]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Consulted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[DPO, information security, legal office, research ethics committee, education committee, staff and student representatives]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Effective date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Next scheduled review</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 no later than 12 months after the effective date]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Related documents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[Information classification policy; data protection policy; acceptable use of IT policy; examination regulations; research integrity policy; procurement policy; AI tool register]</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Version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1.0</w:t>
            </w:r>
          </w:p>
        </w:tc>
      </w:tr>
    </w:tbl>
    <w:p/>
    <w:p>
      <w:pPr>
        <w:pStyle w:val="Heading1"/>
      </w:pPr>
      <w:r>
        <w:t xml:space="preserve">1. Purpose</w:t>
      </w:r>
    </w:p>
    <w:p>
      <w:pPr>
        <w:pStyle w:val="ListParagraph"/>
        <w:numPr>
          <w:ilvl w:val="0"/>
          <w:numId w:val="2"/>
        </w:numPr>
      </w:pPr>
      <w:r>
        <w:t xml:space="preserve">This policy sets out how </w:t>
      </w:r>
      <w:r>
        <w:rPr>
          <w:highlight w:val="yellow"/>
          <w:highlightCs w:val="yellow"/>
        </w:rPr>
        <w:t xml:space="preserve">[University name]</w:t>
      </w:r>
      <w:r>
        <w:t xml:space="preserve"> ("the University") uses artificial intelligence (AI) in education, research and administration, and the rules that staff, students and others acting for the University must follow.</w:t>
      </w:r>
    </w:p>
    <w:p>
      <w:pPr>
        <w:pStyle w:val="ListParagraph"/>
        <w:numPr>
          <w:ilvl w:val="0"/>
          <w:numId w:val="2"/>
        </w:numPr>
      </w:pPr>
      <w:r>
        <w:t xml:space="preserve">It aims to let the University community use AI where it helps teaching, learning, research and services, while protecting personal data, confidential information, academic integrity, fundamental rights and the University's reputation.</w:t>
      </w:r>
    </w:p>
    <w:p>
      <w:pPr>
        <w:pStyle w:val="ListParagraph"/>
        <w:numPr>
          <w:ilvl w:val="0"/>
          <w:numId w:val="2"/>
        </w:numPr>
      </w:pPr>
      <w:r>
        <w:t xml:space="preserve">It is how the University meets, among other things, its duties under Regulation (EU) 2016/679 (GDPR) and Regulation (EU) 2024/1689 (the AI Act), as amended by Regulation (EU) 2026/1744. It does not replace those laws or other University policies.</w:t>
      </w:r>
    </w:p>
    <w:p>
      <w:pPr>
        <w:pStyle w:val="Heading1"/>
      </w:pPr>
      <w:r>
        <w:t xml:space="preserve">2. Scope</w:t>
      </w:r>
    </w:p>
    <w:p>
      <w:pPr>
        <w:pStyle w:val="ListParagraph"/>
        <w:numPr>
          <w:ilvl w:val="0"/>
          <w:numId w:val="3"/>
        </w:numPr>
      </w:pPr>
      <w:r>
        <w:t xml:space="preserve">This policy applies to: (a) all staff, including affiliated, visiting and emeritus staff when acting for the University; (b) all students, including doctoral candidates; (c) contractors, consultants and other persons using AI systems on the University's behalf.</w:t>
      </w:r>
    </w:p>
    <w:p>
      <w:pPr>
        <w:pStyle w:val="ListParagraph"/>
        <w:numPr>
          <w:ilvl w:val="0"/>
          <w:numId w:val="3"/>
        </w:numPr>
      </w:pPr>
      <w:r>
        <w:t xml:space="preserve">It covers every AI system used for University purposes, whether licensed centrally, bought by a unit, offered free of charge, built in-house or embedded as a feature in other software (for example AI functions in the learning platform, office suite, video conferencing or library systems).</w:t>
      </w:r>
    </w:p>
    <w:p>
      <w:pPr>
        <w:pStyle w:val="ListParagraph"/>
        <w:numPr>
          <w:ilvl w:val="0"/>
          <w:numId w:val="3"/>
        </w:numPr>
      </w:pPr>
      <w:r>
        <w:t xml:space="preserve">It covers AI as defined in the AI Act and, in addition, </w:t>
      </w:r>
      <w:r>
        <w:rPr>
          <w:highlight w:val="yellow"/>
          <w:highlightCs w:val="yellow"/>
        </w:rPr>
        <w:t xml:space="preserve">[other automated decision-making or impactful algorithms used on students, staff or applicants]</w:t>
      </w:r>
      <w:r>
        <w:t xml:space="preserve">.</w:t>
      </w:r>
    </w:p>
    <w:p>
      <w:pPr>
        <w:pStyle w:val="ListParagraph"/>
        <w:numPr>
          <w:ilvl w:val="0"/>
          <w:numId w:val="3"/>
        </w:numPr>
      </w:pPr>
      <w:r>
        <w:t xml:space="preserve">Private use of AI by staff or students outside University activities is not covered, except that University data may not be used in such tools (section 8).</w:t>
      </w:r>
    </w:p>
    <w:p>
      <w:pPr>
        <w:pStyle w:val="ListParagraph"/>
        <w:numPr>
          <w:ilvl w:val="0"/>
          <w:numId w:val="3"/>
        </w:numPr>
      </w:pPr>
      <w:r>
        <w:t xml:space="preserve">Faculties, departments and programmes may adopt stricter or more detailed rules, provided they are consistent with this policy. They must publish them where students and staff can find them.</w:t>
      </w:r>
    </w:p>
    <w:p>
      <w:pPr>
        <w:pStyle w:val="Heading1"/>
      </w:pPr>
      <w:r>
        <w:t xml:space="preserve">3. Definitions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27"/>
        <w:gridCol w:w="6499"/>
      </w:tblGrid>
      <w:tr>
        <w:trPr>
          <w:tblHeader/>
        </w:trPr>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Term</w:t>
            </w:r>
          </w:p>
        </w:tc>
        <w:tc>
          <w:tcPr>
            <w:tcW w:type="dxa" w:w="649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Meaning in this policy</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system</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As defined in Article 3(1) of the AI Act: a machine-based system that operates with varying levels of autonomy and infers from its input how to generate outputs such as predictions, content, recommendations or decisions.</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Generative AI</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systems that generate text, images, audio, video, code or other content in response to prompts.</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Approved tool</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 AI tool, in a named plan or configuration, listed in the AI tool register with the data classes it may receive.</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Deployer / provider</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As defined in Article 3(3) and 3(4) of the AI Act. The University is normally a deployer of the AI systems it licenses, and may be a provider of systems it develops and puts into service under its own name.</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High-risk use</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use listed in Annex III of the AI Act, in particular point 3 (education and vocational training) and point 4 (employment), unless the exception in Article 6(3) applies.</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Information classes</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The classes in the University's information classification policy: </w:t>
            </w:r>
            <w:r>
              <w:rPr>
                <w:highlight w:val="yellow"/>
                <w:highlightCs w:val="yellow"/>
              </w:rPr>
              <w:t xml:space="preserve">[Public]</w:t>
            </w:r>
            <w:r>
              <w:t xml:space="preserve">, </w:t>
            </w:r>
            <w:r>
              <w:rPr>
                <w:highlight w:val="yellow"/>
                <w:highlightCs w:val="yellow"/>
              </w:rPr>
              <w:t xml:space="preserve">[Internal]</w:t>
            </w:r>
            <w:r>
              <w:t xml:space="preserve">, </w:t>
            </w:r>
            <w:r>
              <w:rPr>
                <w:highlight w:val="yellow"/>
                <w:highlightCs w:val="yellow"/>
              </w:rPr>
              <w:t xml:space="preserve">[Confidential]</w:t>
            </w:r>
            <w:r>
              <w:t xml:space="preserve">, </w:t>
            </w:r>
            <w:r>
              <w:rPr>
                <w:highlight w:val="yellow"/>
                <w:highlightCs w:val="yellow"/>
              </w:rPr>
              <w:t xml:space="preserve">[Strictly confidential]</w:t>
            </w:r>
            <w:r>
              <w:t xml:space="preserve">.</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tool register</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The University's list of approved, conditionally approved and not approved AI tools, published at </w:t>
            </w:r>
            <w:r>
              <w:rPr>
                <w:highlight w:val="yellow"/>
                <w:highlightCs w:val="yellow"/>
              </w:rPr>
              <w:t xml:space="preserve">[URL]</w:t>
            </w:r>
            <w:r>
              <w:t xml:space="preserve">.</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Governance Group</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The body set up under section 5 to coordinate this policy. </w:t>
            </w:r>
            <w:r>
              <w:rPr>
                <w:highlight w:val="yellow"/>
                <w:highlightCs w:val="yellow"/>
              </w:rPr>
              <w:t xml:space="preserve">[Rename to match your structure.]</w:t>
            </w:r>
          </w:p>
        </w:tc>
      </w:tr>
    </w:tbl>
    <w:p/>
    <w:p>
      <w:pPr>
        <w:pStyle w:val="Heading1"/>
      </w:pPr>
      <w:r>
        <w:t xml:space="preserve">4. Principles</w:t>
      </w:r>
    </w:p>
    <w:p>
      <w:pPr>
        <w:spacing w:after="120"/>
      </w:pPr>
      <w:r>
        <w:t xml:space="preserve">Everyone using AI for University purposes follows these principles:</w:t>
      </w:r>
    </w:p>
    <w:p>
      <w:pPr>
        <w:pStyle w:val="ListParagraph"/>
        <w:numPr>
          <w:ilvl w:val="0"/>
          <w:numId w:val="4"/>
        </w:numPr>
      </w:pPr>
      <w:r>
        <w:rPr>
          <w:b/>
          <w:bCs/>
        </w:rPr>
        <w:t xml:space="preserve">Human responsibility.</w:t>
      </w:r>
      <w:r>
        <w:t xml:space="preserve"> The person who uses an AI tool remains responsible for the result. AI systems are never authors, examiners or decision-makers.</w:t>
      </w:r>
    </w:p>
    <w:p>
      <w:pPr>
        <w:pStyle w:val="ListParagraph"/>
        <w:numPr>
          <w:ilvl w:val="0"/>
          <w:numId w:val="4"/>
        </w:numPr>
      </w:pPr>
      <w:r>
        <w:rPr>
          <w:b/>
          <w:bCs/>
        </w:rPr>
        <w:t xml:space="preserve">Critical use.</w:t>
      </w:r>
      <w:r>
        <w:t xml:space="preserve"> Users check AI output for errors, invented references, bias and outdated information before relying on it.</w:t>
      </w:r>
    </w:p>
    <w:p>
      <w:pPr>
        <w:pStyle w:val="ListParagraph"/>
        <w:numPr>
          <w:ilvl w:val="0"/>
          <w:numId w:val="4"/>
        </w:numPr>
      </w:pPr>
      <w:r>
        <w:rPr>
          <w:b/>
          <w:bCs/>
        </w:rPr>
        <w:t xml:space="preserve">Transparency.</w:t>
      </w:r>
      <w:r>
        <w:t xml:space="preserve"> Users disclose substantive use of AI in the way this policy, the course, the publisher or the funder requires.</w:t>
      </w:r>
    </w:p>
    <w:p>
      <w:pPr>
        <w:pStyle w:val="ListParagraph"/>
        <w:numPr>
          <w:ilvl w:val="0"/>
          <w:numId w:val="4"/>
        </w:numPr>
      </w:pPr>
      <w:r>
        <w:rPr>
          <w:b/>
          <w:bCs/>
        </w:rPr>
        <w:t xml:space="preserve">Lawful and proportionate data use.</w:t>
      </w:r>
      <w:r>
        <w:t xml:space="preserve"> Only the data needed for the task is entered, and only into tools approved for that class of data.</w:t>
      </w:r>
    </w:p>
    <w:p>
      <w:pPr>
        <w:pStyle w:val="ListParagraph"/>
        <w:numPr>
          <w:ilvl w:val="0"/>
          <w:numId w:val="4"/>
        </w:numPr>
      </w:pPr>
      <w:r>
        <w:rPr>
          <w:b/>
          <w:bCs/>
        </w:rPr>
        <w:t xml:space="preserve">Fairness and respect for rights.</w:t>
      </w:r>
      <w:r>
        <w:t xml:space="preserve"> AI is not used in ways that discriminate, manipulate or undermine the rights of students, staff, research participants or others.</w:t>
      </w:r>
    </w:p>
    <w:p>
      <w:pPr>
        <w:pStyle w:val="ListParagraph"/>
        <w:numPr>
          <w:ilvl w:val="0"/>
          <w:numId w:val="4"/>
        </w:numPr>
      </w:pPr>
      <w:r>
        <w:rPr>
          <w:b/>
          <w:bCs/>
        </w:rPr>
        <w:t xml:space="preserve">Academic freedom.</w:t>
      </w:r>
      <w:r>
        <w:t xml:space="preserve"> This policy does not restrict what may be taught or researched about AI. It regulates how AI tools are used for University activities.</w:t>
      </w:r>
    </w:p>
    <w:p>
      <w:pPr>
        <w:pStyle w:val="ListParagraph"/>
        <w:numPr>
          <w:ilvl w:val="0"/>
          <w:numId w:val="4"/>
        </w:numPr>
      </w:pPr>
      <w:r>
        <w:rPr>
          <w:b/>
          <w:bCs/>
        </w:rPr>
        <w:t xml:space="preserve">Sustainability.</w:t>
      </w:r>
      <w:r>
        <w:t xml:space="preserve"> Users choose the least resource-intensive tool that does the job, in line with </w:t>
      </w:r>
      <w:r>
        <w:rPr>
          <w:highlight w:val="yellow"/>
          <w:highlightCs w:val="yellow"/>
        </w:rPr>
        <w:t xml:space="preserve">[the University's sustainability policy]</w:t>
      </w:r>
      <w:r>
        <w:t xml:space="preserve">.</w:t>
      </w:r>
    </w:p>
    <w:p>
      <w:pPr>
        <w:pStyle w:val="Heading1"/>
      </w:pPr>
      <w:r>
        <w:t xml:space="preserve">5. Roles and responsibilities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27"/>
        <w:gridCol w:w="6499"/>
      </w:tblGrid>
      <w:tr>
        <w:trPr>
          <w:tblHeader/>
        </w:trPr>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Role</w:t>
            </w:r>
          </w:p>
        </w:tc>
        <w:tc>
          <w:tcPr>
            <w:tcW w:type="dxa" w:w="649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Responsibilities</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[Governing body]</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Approves this policy and major changes to it.</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Policy owner</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Keeps the policy current, reports annually to </w:t>
            </w:r>
            <w:r>
              <w:rPr>
                <w:highlight w:val="yellow"/>
                <w:highlightCs w:val="yellow"/>
              </w:rPr>
              <w:t xml:space="preserve">[governing body]</w:t>
            </w:r>
            <w:r>
              <w:t xml:space="preserve"> on its operation, and chairs or appoints the chair of the AI Governance Group.</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Governance Group</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Members: </w:t>
            </w:r>
            <w:r>
              <w:rPr>
                <w:highlight w:val="yellow"/>
                <w:highlightCs w:val="yellow"/>
              </w:rPr>
              <w:t xml:space="preserve">[IT, information security, DPO, legal office, procurement, library, education, research, HR, student representative]</w:t>
            </w:r>
            <w:r>
              <w:t xml:space="preserve">. Maintains the AI tool register, decides on tool approvals, coordinates AI literacy measures and monitors legal developments.</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protection officer</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Advises on data protection impact assessments (DPIAs), legal bases, transfers and processor agreements; is consulted on every tool that processes personal data.</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Information security</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Assesses the security of tools and vendors; sets technical conditions of use.</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Procurement and legal office</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Ensures contracts include the terms required in section 16.</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Deans and heads of unit</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Ensure local practice follows this policy; nominate a contact person for AI questions; keep a local record of AI tools in use.</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Programme directors and course coordinators</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Decide and communicate the permitted use of AI in each course and assessment (section 9).</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Principal investigators and supervisors</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Ensure research use of AI in their projects follows section 11, the data management plan and the ethics approval.</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 staff and students</w:t>
            </w:r>
          </w:p>
        </w:tc>
        <w:tc>
          <w:tcPr>
            <w:tcW w:type="dxa" w:w="649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Follow this policy, complete the AI literacy measures that apply to their role, and report incidents (section 17).</w:t>
            </w:r>
          </w:p>
        </w:tc>
      </w:tr>
    </w:tbl>
    <w:p/>
    <w:p>
      <w:pPr>
        <w:pStyle w:val="Heading1"/>
      </w:pPr>
      <w:r>
        <w:t xml:space="preserve">6. Approved AI tools</w:t>
      </w:r>
    </w:p>
    <w:p>
      <w:pPr>
        <w:pStyle w:val="ListParagraph"/>
        <w:numPr>
          <w:ilvl w:val="0"/>
          <w:numId w:val="5"/>
        </w:numPr>
      </w:pPr>
      <w:r>
        <w:t xml:space="preserve">The AI Governance Group publishes the AI tool register at </w:t>
      </w:r>
      <w:r>
        <w:rPr>
          <w:highlight w:val="yellow"/>
          <w:highlightCs w:val="yellow"/>
        </w:rPr>
        <w:t xml:space="preserve">[URL]</w:t>
      </w:r>
      <w:r>
        <w:t xml:space="preserve">. For each tool it states the plan or configuration covered, how to access it (for example University login only), the information classes it may receive, and any conditions.</w:t>
      </w:r>
    </w:p>
    <w:p>
      <w:pPr>
        <w:pStyle w:val="ListParagraph"/>
        <w:numPr>
          <w:ilvl w:val="0"/>
          <w:numId w:val="5"/>
        </w:numPr>
      </w:pPr>
      <w:r>
        <w:t xml:space="preserve">A tool is approved only in the plan and configuration named in the register. A consumer or personal account for the same product is not approved unless the register says so.</w:t>
      </w:r>
    </w:p>
    <w:p>
      <w:pPr>
        <w:pStyle w:val="ListParagraph"/>
        <w:numPr>
          <w:ilvl w:val="0"/>
          <w:numId w:val="5"/>
        </w:numPr>
      </w:pPr>
      <w:r>
        <w:t xml:space="preserve">Unless the register says otherwise, the following default rules apply: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Information class</w:t>
            </w:r>
          </w:p>
        </w:tc>
        <w:tc>
          <w:tcPr>
            <w:tcW w:type="dxa" w:w="631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Tools that may be used</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[Public]</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Any approved tool. Other tools may be used with public information only, at the user's own discretion, provided no account linked to University identity is required </w:t>
            </w:r>
            <w:r>
              <w:rPr>
                <w:highlight w:val="yellow"/>
                <w:highlightCs w:val="yellow"/>
              </w:rPr>
              <w:t xml:space="preserve">[or: provided the user signs in with a University account]</w:t>
            </w:r>
            <w:r>
              <w:t xml:space="preserve">.</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[Internal]</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Approved tools marked "internal" in the register, signed in with the University account.</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[Confidential]</w:t>
            </w:r>
            <w:r>
              <w:t xml:space="preserve">, including personal data</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Only tools marked "confidential" in the register, which have a data processing agreement with the University and a completed DPIA where one is required.</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[Strictly confidential]</w:t>
            </w:r>
            <w:r>
              <w:t xml:space="preserve">, including special category data, health data, data on criminal offences and identifiable research participant data</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 AI tools]</w:t>
            </w:r>
            <w:r>
              <w:t xml:space="preserve"> </w:t>
            </w:r>
            <w:r>
              <w:rPr>
                <w:highlight w:val="yellow"/>
                <w:highlightCs w:val="yellow"/>
              </w:rPr>
              <w:t xml:space="preserve">[or: only the tools listed for this class, such as the University-hosted platform [name]</w:t>
            </w:r>
            <w:r>
              <w:t xml:space="preserve">, with prior approval of the data owner and the DPO].</w:t>
            </w:r>
          </w:p>
        </w:tc>
      </w:tr>
    </w:tbl>
    <w:p/>
    <w:p>
      <w:pPr>
        <w:pStyle w:val="ListParagraph"/>
        <w:numPr>
          <w:ilvl w:val="0"/>
          <w:numId w:val="6"/>
        </w:numPr>
      </w:pPr>
      <w:r>
        <w:t xml:space="preserve">Tools that are not in the register may not be used with information above </w:t>
      </w:r>
      <w:r>
        <w:rPr>
          <w:highlight w:val="yellow"/>
          <w:highlightCs w:val="yellow"/>
        </w:rPr>
        <w:t xml:space="preserve">[Public]</w:t>
      </w:r>
      <w:r>
        <w:t xml:space="preserve"> until they have been approved under section 7.</w:t>
      </w:r>
    </w:p>
    <w:p>
      <w:pPr>
        <w:pStyle w:val="ListParagraph"/>
        <w:numPr>
          <w:ilvl w:val="0"/>
          <w:numId w:val="6"/>
        </w:numPr>
      </w:pPr>
      <w:r>
        <w:t xml:space="preserve">The following tools or categories are not approved for any University use: </w:t>
      </w:r>
      <w:r>
        <w:rPr>
          <w:highlight w:val="yellow"/>
          <w:highlightCs w:val="yellow"/>
        </w:rPr>
        <w:t xml:space="preserve">[list, for example tools whose terms allow use of inputs for model training and offer no opt-out for institutional users; tools without a data processing agreement where personal data is involved]</w:t>
      </w:r>
      <w:r>
        <w:t xml:space="preserve">.</w:t>
      </w:r>
    </w:p>
    <w:p>
      <w:pPr>
        <w:pStyle w:val="Heading1"/>
      </w:pPr>
      <w:r>
        <w:t xml:space="preserve">7. How a tool is approved</w:t>
      </w:r>
    </w:p>
    <w:p>
      <w:pPr>
        <w:pStyle w:val="ListParagraph"/>
        <w:numPr>
          <w:ilvl w:val="0"/>
          <w:numId w:val="7"/>
        </w:numPr>
      </w:pPr>
      <w:r>
        <w:t xml:space="preserve">Any member of staff may request approval of an AI tool by submitting </w:t>
      </w:r>
      <w:r>
        <w:rPr>
          <w:highlight w:val="yellow"/>
          <w:highlightCs w:val="yellow"/>
        </w:rPr>
        <w:t xml:space="preserve">[the request form]</w:t>
      </w:r>
      <w:r>
        <w:t xml:space="preserve"> to </w:t>
      </w:r>
      <w:r>
        <w:rPr>
          <w:highlight w:val="yellow"/>
          <w:highlightCs w:val="yellow"/>
        </w:rPr>
        <w:t xml:space="preserve">[AI Governance Group contact]</w:t>
      </w:r>
      <w:r>
        <w:t xml:space="preserve">. Students make requests through their teacher or supervisor.</w:t>
      </w:r>
    </w:p>
    <w:p>
      <w:pPr>
        <w:pStyle w:val="ListParagraph"/>
        <w:numPr>
          <w:ilvl w:val="0"/>
          <w:numId w:val="7"/>
        </w:numPr>
      </w:pPr>
      <w:r>
        <w:t xml:space="preserve">The request describes the intended use, the users, the information classes involved, the plan and cost, and who will own the tool locally.</w:t>
      </w:r>
    </w:p>
    <w:p>
      <w:pPr>
        <w:pStyle w:val="ListParagraph"/>
        <w:numPr>
          <w:ilvl w:val="0"/>
          <w:numId w:val="7"/>
        </w:numPr>
      </w:pPr>
      <w:r>
        <w:t xml:space="preserve">The AI Governance Group assesses the request using the checklist in Annex A. It consults the DPO and information security, and the research ethics committee where research participants are affected.</w:t>
      </w:r>
    </w:p>
    <w:p>
      <w:pPr>
        <w:pStyle w:val="ListParagraph"/>
        <w:numPr>
          <w:ilvl w:val="0"/>
          <w:numId w:val="7"/>
        </w:numPr>
      </w:pPr>
      <w:r>
        <w:t xml:space="preserve">The outcome is one of: </w:t>
      </w:r>
      <w:r>
        <w:rPr>
          <w:b/>
          <w:bCs/>
        </w:rPr>
        <w:t xml:space="preserve">approved</w:t>
      </w:r>
      <w:r>
        <w:t xml:space="preserve">, </w:t>
      </w:r>
      <w:r>
        <w:rPr>
          <w:b/>
          <w:bCs/>
        </w:rPr>
        <w:t xml:space="preserve">approved with conditions</w:t>
      </w:r>
      <w:r>
        <w:t xml:space="preserve"> (for example limited to named information classes or user groups) or </w:t>
      </w:r>
      <w:r>
        <w:rPr>
          <w:b/>
          <w:bCs/>
        </w:rPr>
        <w:t xml:space="preserve">not approved</w:t>
      </w:r>
      <w:r>
        <w:t xml:space="preserve">. Reasons are recorded and the register is updated.</w:t>
      </w:r>
    </w:p>
    <w:p>
      <w:pPr>
        <w:pStyle w:val="ListParagraph"/>
        <w:numPr>
          <w:ilvl w:val="0"/>
          <w:numId w:val="7"/>
        </w:numPr>
      </w:pPr>
      <w:r>
        <w:t xml:space="preserve">The University aims to decide on complete requests within </w:t>
      </w:r>
      <w:r>
        <w:rPr>
          <w:highlight w:val="yellow"/>
          <w:highlightCs w:val="yellow"/>
        </w:rPr>
        <w:t xml:space="preserve">[number]</w:t>
      </w:r>
      <w:r>
        <w:t xml:space="preserve"> working days. Requests that require a DPIA or contract negotiation may take longer.</w:t>
      </w:r>
    </w:p>
    <w:p>
      <w:pPr>
        <w:pStyle w:val="ListParagraph"/>
        <w:numPr>
          <w:ilvl w:val="0"/>
          <w:numId w:val="7"/>
        </w:numPr>
      </w:pPr>
      <w:r>
        <w:t xml:space="preserve">Approvals are reviewed at least every </w:t>
      </w:r>
      <w:r>
        <w:rPr>
          <w:highlight w:val="yellow"/>
          <w:highlightCs w:val="yellow"/>
        </w:rPr>
        <w:t xml:space="preserve">[12]</w:t>
      </w:r>
      <w:r>
        <w:t xml:space="preserve"> months and whenever the vendor changes its terms, subprocessors, data location or the AI functions of the product.</w:t>
      </w:r>
    </w:p>
    <w:p>
      <w:pPr>
        <w:pStyle w:val="ListParagraph"/>
        <w:numPr>
          <w:ilvl w:val="0"/>
          <w:numId w:val="7"/>
        </w:numPr>
      </w:pPr>
      <w:r>
        <w:t xml:space="preserve">Requests to use AI for any purpose listed in section 14 (high-risk uses) follow the additional steps in that section.</w:t>
      </w:r>
    </w:p>
    <w:p>
      <w:pPr>
        <w:pStyle w:val="Heading1"/>
      </w:pPr>
      <w:r>
        <w:t xml:space="preserve">8. Personal data and confidential information</w:t>
      </w:r>
    </w:p>
    <w:p>
      <w:pPr>
        <w:pStyle w:val="ListParagraph"/>
        <w:numPr>
          <w:ilvl w:val="0"/>
          <w:numId w:val="8"/>
        </w:numPr>
      </w:pPr>
      <w:r>
        <w:t xml:space="preserve">Users may enter personal data into an AI tool only where (a) the tool is approved for that information class, (b) there is a legal basis under the GDPR and the purpose is compatible with the purpose for which the data was collected, and (c) only the data needed for the task is used.</w:t>
      </w:r>
    </w:p>
    <w:p>
      <w:pPr>
        <w:pStyle w:val="ListParagraph"/>
        <w:numPr>
          <w:ilvl w:val="0"/>
          <w:numId w:val="8"/>
        </w:numPr>
      </w:pPr>
      <w:r>
        <w:t xml:space="preserve">Special category data (Article 9 GDPR), data on criminal convictions and offences (Article 10 GDPR) and identifiable research participant data may be entered only into tools listed for </w:t>
      </w:r>
      <w:r>
        <w:rPr>
          <w:highlight w:val="yellow"/>
          <w:highlightCs w:val="yellow"/>
        </w:rPr>
        <w:t xml:space="preserve">[Strictly confidential]</w:t>
      </w:r>
      <w:r>
        <w:t xml:space="preserve"> information and only with the approvals required in section 6.</w:t>
      </w:r>
    </w:p>
    <w:p>
      <w:pPr>
        <w:pStyle w:val="ListParagraph"/>
        <w:numPr>
          <w:ilvl w:val="0"/>
          <w:numId w:val="8"/>
        </w:numPr>
      </w:pPr>
      <w:r>
        <w:t xml:space="preserve">Users must not enter into any AI tool: passwords or access credentials; </w:t>
      </w:r>
      <w:r>
        <w:rPr>
          <w:highlight w:val="yellow"/>
          <w:highlightCs w:val="yellow"/>
        </w:rPr>
        <w:t xml:space="preserve">[national identity numbers]</w:t>
      </w:r>
      <w:r>
        <w:t xml:space="preserve">; unpublished examination papers; students' submitted work for grading, except in tools approved for that purpose under section 9; or confidential third-party information covered by a non-disclosure agreement, unless the agreement allows it.</w:t>
      </w:r>
    </w:p>
    <w:p>
      <w:pPr>
        <w:pStyle w:val="ListParagraph"/>
        <w:numPr>
          <w:ilvl w:val="0"/>
          <w:numId w:val="8"/>
        </w:numPr>
      </w:pPr>
      <w:r>
        <w:t xml:space="preserve">A data protection impact assessment is carried out before a new AI tool is used to process personal data where Article 35 GDPR requires one. The DPO advises on whether one is required.</w:t>
      </w:r>
    </w:p>
    <w:p>
      <w:pPr>
        <w:pStyle w:val="ListParagraph"/>
        <w:numPr>
          <w:ilvl w:val="0"/>
          <w:numId w:val="8"/>
        </w:numPr>
      </w:pPr>
      <w:r>
        <w:t xml:space="preserve">Where a vendor will process personal data on the University's behalf, a data processing agreement meeting Article 28 GDPR must be in place before use. Transfers outside the EEA require a valid transfer mechanism under Chapter V GDPR.</w:t>
      </w:r>
    </w:p>
    <w:p>
      <w:pPr>
        <w:pStyle w:val="ListParagraph"/>
        <w:numPr>
          <w:ilvl w:val="0"/>
          <w:numId w:val="8"/>
        </w:numPr>
      </w:pPr>
      <w:r>
        <w:t xml:space="preserve">Use of AI for automated decisions with legal or similarly significant effects on individuals is subject to Article 22 GDPR and section 14 of this policy.</w:t>
      </w:r>
    </w:p>
    <w:p>
      <w:pPr>
        <w:pStyle w:val="ListParagraph"/>
        <w:numPr>
          <w:ilvl w:val="0"/>
          <w:numId w:val="8"/>
        </w:numPr>
      </w:pPr>
      <w:r>
        <w:t xml:space="preserve">Information about how the University uses personal data in AI tools is included in the relevant privacy notices.</w:t>
      </w:r>
    </w:p>
    <w:p>
      <w:pPr>
        <w:pStyle w:val="Heading1"/>
      </w:pPr>
      <w:r>
        <w:t xml:space="preserve">9. Teaching, learning and assessment</w:t>
      </w:r>
    </w:p>
    <w:p>
      <w:pPr>
        <w:pStyle w:val="ListParagraph"/>
        <w:numPr>
          <w:ilvl w:val="0"/>
          <w:numId w:val="9"/>
        </w:numPr>
      </w:pPr>
      <w:r>
        <w:rPr>
          <w:b/>
          <w:bCs/>
        </w:rPr>
        <w:t xml:space="preserve">Default rule.</w:t>
      </w:r>
      <w:r>
        <w:t xml:space="preserve"> </w:t>
      </w:r>
      <w:r>
        <w:rPr>
          <w:highlight w:val="yellow"/>
          <w:highlightCs w:val="yellow"/>
        </w:rPr>
        <w:t xml:space="preserve">[Option A: Students may use AI tools in their studies unless the course or assessment instructions say otherwise.]</w:t>
      </w:r>
      <w:r>
        <w:t xml:space="preserve"> </w:t>
      </w:r>
      <w:r>
        <w:rPr>
          <w:highlight w:val="yellow"/>
          <w:highlightCs w:val="yellow"/>
        </w:rPr>
        <w:t xml:space="preserve">[Option B: Students may use AI tools in assessed work only where the course or assessment instructions allow it.]</w:t>
      </w:r>
    </w:p>
    <w:p>
      <w:pPr>
        <w:pStyle w:val="ListParagraph"/>
        <w:numPr>
          <w:ilvl w:val="0"/>
          <w:numId w:val="9"/>
        </w:numPr>
      </w:pPr>
      <w:r>
        <w:rPr>
          <w:b/>
          <w:bCs/>
        </w:rPr>
        <w:t xml:space="preserve">Course-level decision.</w:t>
      </w:r>
      <w:r>
        <w:t xml:space="preserve"> For each assessment the course coordinator states which level of AI use from Annex C applies, and why, in the course description at the start of the course. Without such a statement, </w:t>
      </w:r>
      <w:r>
        <w:rPr>
          <w:highlight w:val="yellow"/>
          <w:highlightCs w:val="yellow"/>
        </w:rPr>
        <w:t xml:space="preserve">[the default rule above]</w:t>
      </w:r>
      <w:r>
        <w:t xml:space="preserve"> applies. In supervised examinations, AI tools are not permitted unless the examination instructions allow them.</w:t>
      </w:r>
    </w:p>
    <w:p>
      <w:pPr>
        <w:pStyle w:val="ListParagraph"/>
        <w:numPr>
          <w:ilvl w:val="0"/>
          <w:numId w:val="9"/>
        </w:numPr>
      </w:pPr>
      <w:r>
        <w:rPr>
          <w:b/>
          <w:bCs/>
        </w:rPr>
        <w:t xml:space="preserve">Disclosure.</w:t>
      </w:r>
      <w:r>
        <w:t xml:space="preserve"> Students who use AI in assessed work disclose it using the statement in Annex B, or a format set by the course, stating the tool, the purpose and how they checked the output. Students keep a record of significant prompts and outputs </w:t>
      </w:r>
      <w:r>
        <w:rPr>
          <w:highlight w:val="yellow"/>
          <w:highlightCs w:val="yellow"/>
        </w:rPr>
        <w:t xml:space="preserve">[for the duration of the assessment period]</w:t>
      </w:r>
      <w:r>
        <w:t xml:space="preserve"> and provide it on request.</w:t>
      </w:r>
    </w:p>
    <w:p>
      <w:pPr>
        <w:pStyle w:val="ListParagraph"/>
        <w:numPr>
          <w:ilvl w:val="0"/>
          <w:numId w:val="9"/>
        </w:numPr>
      </w:pPr>
      <w:r>
        <w:rPr>
          <w:b/>
          <w:bCs/>
        </w:rPr>
        <w:t xml:space="preserve">Equal access.</w:t>
      </w:r>
      <w:r>
        <w:t xml:space="preserve"> Where AI use is required or expected in a course, students must be able to use an approved tool provided by the University at no extra cost. Teachers may not require students to create personal accounts with external AI services.</w:t>
      </w:r>
    </w:p>
    <w:p>
      <w:pPr>
        <w:pStyle w:val="ListParagraph"/>
        <w:numPr>
          <w:ilvl w:val="0"/>
          <w:numId w:val="9"/>
        </w:numPr>
      </w:pPr>
      <w:r>
        <w:rPr>
          <w:b/>
          <w:bCs/>
        </w:rPr>
        <w:t xml:space="preserve">AI in marking and feedback.</w:t>
      </w:r>
      <w:r>
        <w:t xml:space="preserve"> AI may support marking and feedback only in tools approved for that purpose and only in a supporting role: the examiner makes and is responsible for every grading decision. Students' work may not be entered into tools that are not approved for </w:t>
      </w:r>
      <w:r>
        <w:rPr>
          <w:highlight w:val="yellow"/>
          <w:highlightCs w:val="yellow"/>
        </w:rPr>
        <w:t xml:space="preserve">[Confidential]</w:t>
      </w:r>
      <w:r>
        <w:t xml:space="preserve"> information. Any use of AI to evaluate learning outcomes, assign students to levels, decide on admission or monitor students during tests is a high-risk use under section 14.</w:t>
      </w:r>
    </w:p>
    <w:p>
      <w:pPr>
        <w:pStyle w:val="ListParagraph"/>
        <w:numPr>
          <w:ilvl w:val="0"/>
          <w:numId w:val="9"/>
        </w:numPr>
      </w:pPr>
      <w:r>
        <w:rPr>
          <w:b/>
          <w:bCs/>
        </w:rPr>
        <w:t xml:space="preserve">AI detection.</w:t>
      </w:r>
      <w:r>
        <w:t xml:space="preserve"> Output from AI detection software alone is not sufficient evidence of academic misconduct. It may be used only as one indicator, alongside other evidence, and only in tools approved for this purpose.</w:t>
      </w:r>
    </w:p>
    <w:p>
      <w:pPr>
        <w:pStyle w:val="ListParagraph"/>
        <w:numPr>
          <w:ilvl w:val="0"/>
          <w:numId w:val="9"/>
        </w:numPr>
      </w:pPr>
      <w:r>
        <w:rPr>
          <w:b/>
          <w:bCs/>
        </w:rPr>
        <w:t xml:space="preserve">Accessibility.</w:t>
      </w:r>
      <w:r>
        <w:t xml:space="preserve"> Reasonable adjustments that involve AI tools, such as assistive writing or transcription, are agreed through </w:t>
      </w:r>
      <w:r>
        <w:rPr>
          <w:highlight w:val="yellow"/>
          <w:highlightCs w:val="yellow"/>
        </w:rPr>
        <w:t xml:space="preserve">[the disability support service]</w:t>
      </w:r>
      <w:r>
        <w:t xml:space="preserve"> and are not academic misconduct.</w:t>
      </w:r>
    </w:p>
    <w:p>
      <w:pPr>
        <w:pStyle w:val="Heading1"/>
      </w:pPr>
      <w:r>
        <w:t xml:space="preserve">10. Academic integrity</w:t>
      </w:r>
    </w:p>
    <w:p>
      <w:pPr>
        <w:pStyle w:val="ListParagraph"/>
        <w:numPr>
          <w:ilvl w:val="0"/>
          <w:numId w:val="10"/>
        </w:numPr>
      </w:pPr>
      <w:r>
        <w:t xml:space="preserve">Presenting AI-generated content as one's own work, where the use is not permitted or not disclosed as required, is </w:t>
      </w:r>
      <w:r>
        <w:rPr>
          <w:highlight w:val="yellow"/>
          <w:highlightCs w:val="yellow"/>
        </w:rPr>
        <w:t xml:space="preserve">[academic misconduct / an irregularity]</w:t>
      </w:r>
      <w:r>
        <w:t xml:space="preserve"> under </w:t>
      </w:r>
      <w:r>
        <w:rPr>
          <w:highlight w:val="yellow"/>
          <w:highlightCs w:val="yellow"/>
        </w:rPr>
        <w:t xml:space="preserve">[the examination regulations, article reference]</w:t>
      </w:r>
      <w:r>
        <w:t xml:space="preserve">.</w:t>
      </w:r>
    </w:p>
    <w:p>
      <w:pPr>
        <w:pStyle w:val="ListParagraph"/>
        <w:numPr>
          <w:ilvl w:val="0"/>
          <w:numId w:val="10"/>
        </w:numPr>
      </w:pPr>
      <w:r>
        <w:t xml:space="preserve">Suspected cases are handled under </w:t>
      </w:r>
      <w:r>
        <w:rPr>
          <w:highlight w:val="yellow"/>
          <w:highlightCs w:val="yellow"/>
        </w:rPr>
        <w:t xml:space="preserve">[the academic misconduct procedure]</w:t>
      </w:r>
      <w:r>
        <w:t xml:space="preserve">. The student is heard before any decision.</w:t>
      </w:r>
    </w:p>
    <w:p>
      <w:pPr>
        <w:pStyle w:val="ListParagraph"/>
        <w:numPr>
          <w:ilvl w:val="0"/>
          <w:numId w:val="10"/>
        </w:numPr>
      </w:pPr>
      <w:r>
        <w:t xml:space="preserve">Fabricating or falsifying data, results or references with the help of AI is treated in the same way as fabrication or falsification by any other means.</w:t>
      </w:r>
    </w:p>
    <w:p>
      <w:pPr>
        <w:pStyle w:val="Heading1"/>
      </w:pPr>
      <w:r>
        <w:t xml:space="preserve">11. Research</w:t>
      </w:r>
    </w:p>
    <w:p>
      <w:pPr>
        <w:pStyle w:val="ListParagraph"/>
        <w:numPr>
          <w:ilvl w:val="0"/>
          <w:numId w:val="11"/>
        </w:numPr>
      </w:pPr>
      <w:r>
        <w:t xml:space="preserve">Researchers remain responsible for all research output produced with the support of AI, including its accuracy, originality and the correctness of references. AI systems are not listed as authors.</w:t>
      </w:r>
    </w:p>
    <w:p>
      <w:pPr>
        <w:pStyle w:val="ListParagraph"/>
        <w:numPr>
          <w:ilvl w:val="0"/>
          <w:numId w:val="11"/>
        </w:numPr>
      </w:pPr>
      <w:r>
        <w:t xml:space="preserve">Researchers disclose substantive use of generative AI (for example for data analysis, literature review, identifying research gaps or formulating hypotheses) in the methods section or equivalent, naming the tool, the version, the date and how the output was verified, in line with the requirements of the journal, publisher or funder. Basic editorial support, such as spelling and grammar, does not need to be disclosed unless the publisher requires it.</w:t>
      </w:r>
    </w:p>
    <w:p>
      <w:pPr>
        <w:pStyle w:val="ListParagraph"/>
        <w:numPr>
          <w:ilvl w:val="0"/>
          <w:numId w:val="11"/>
        </w:numPr>
      </w:pPr>
      <w:r>
        <w:t xml:space="preserve">Unpublished work of the researcher or others, confidential data and personal data are entered only into tools approved for that information class. Research participant data is processed in AI tools only where this is covered by the data management plan, the ethics approval, the information given to participants and, where required, a DPIA.</w:t>
      </w:r>
    </w:p>
    <w:p>
      <w:pPr>
        <w:pStyle w:val="ListParagraph"/>
        <w:numPr>
          <w:ilvl w:val="0"/>
          <w:numId w:val="11"/>
        </w:numPr>
      </w:pPr>
      <w:r>
        <w:t xml:space="preserve">Researchers do not use generative AI tools substantially in peer review or in evaluating research proposals, theses or applications for appointment, unless the body that commissioned the review allows it and confidentiality is protected.</w:t>
      </w:r>
    </w:p>
    <w:p>
      <w:pPr>
        <w:pStyle w:val="ListParagraph"/>
        <w:numPr>
          <w:ilvl w:val="0"/>
          <w:numId w:val="11"/>
        </w:numPr>
      </w:pPr>
      <w:r>
        <w:t xml:space="preserve">Use of AI in research follows the European Code of Conduct for Research Integrity, which treats hiding the use of AI or automated tools in the creation of content or the drafting of publications as an unacceptable practice.</w:t>
      </w:r>
    </w:p>
    <w:p>
      <w:pPr>
        <w:pStyle w:val="ListParagraph"/>
        <w:numPr>
          <w:ilvl w:val="0"/>
          <w:numId w:val="11"/>
        </w:numPr>
      </w:pPr>
      <w:r>
        <w:t xml:space="preserve">Research projects that develop or train AI systems record the AI Act status of the work. The exclusion in Article 2(6) and 2(8) of the AI Act applies only to systems developed and put into service for the sole purpose of scientific research, and to research and testing before a system is placed on the market or put into service. It does not cover AI tools used to carry out research.</w:t>
      </w:r>
    </w:p>
    <w:p>
      <w:pPr>
        <w:pStyle w:val="ListParagraph"/>
        <w:numPr>
          <w:ilvl w:val="0"/>
          <w:numId w:val="11"/>
        </w:numPr>
      </w:pPr>
      <w:r>
        <w:t xml:space="preserve">Research groups that put an AI system into service for others, for example a chatbot or analysis service offered under the University's name, consult </w:t>
      </w:r>
      <w:r>
        <w:rPr>
          <w:highlight w:val="yellow"/>
          <w:highlightCs w:val="yellow"/>
        </w:rPr>
        <w:t xml:space="preserve">[the AI Governance Group]</w:t>
      </w:r>
      <w:r>
        <w:t xml:space="preserve"> first, because the University may then be a provider under the AI Act.</w:t>
      </w:r>
    </w:p>
    <w:p>
      <w:pPr>
        <w:pStyle w:val="Heading1"/>
      </w:pPr>
      <w:r>
        <w:t xml:space="preserve">12. AI literacy</w:t>
      </w:r>
    </w:p>
    <w:p>
      <w:pPr>
        <w:pStyle w:val="ListParagraph"/>
        <w:numPr>
          <w:ilvl w:val="0"/>
          <w:numId w:val="12"/>
        </w:numPr>
      </w:pPr>
      <w:r>
        <w:t xml:space="preserve">Under Article 4 of the AI Act, as amended, the University takes measures to support the AI literacy of staff and other persons dealing with the operation and use of AI systems on its behalf, taking into account their knowledge, experience, the context of use and the people affected.</w:t>
      </w:r>
    </w:p>
    <w:p>
      <w:pPr>
        <w:pStyle w:val="ListParagraph"/>
        <w:numPr>
          <w:ilvl w:val="0"/>
          <w:numId w:val="12"/>
        </w:numPr>
      </w:pPr>
      <w:r>
        <w:t xml:space="preserve">The University provides: (a) a short general module on AI, its risks and this policy for all staff who use AI tools; (b) role-specific guidance for groups with higher exposure, including examiners, admissions staff, HR, IT and procurement, and researchers handling personal data; (c) training for anyone assigned to oversee a high-risk AI system; (d) information and courses for students on responsible use of AI in their studies.</w:t>
      </w:r>
    </w:p>
    <w:p>
      <w:pPr>
        <w:pStyle w:val="ListParagraph"/>
        <w:numPr>
          <w:ilvl w:val="0"/>
          <w:numId w:val="12"/>
        </w:numPr>
      </w:pPr>
      <w:r>
        <w:t xml:space="preserve">Before receiving access to </w:t>
      </w:r>
      <w:r>
        <w:rPr>
          <w:highlight w:val="yellow"/>
          <w:highlightCs w:val="yellow"/>
        </w:rPr>
        <w:t xml:space="preserve">[named tools, for example paid AI licences]</w:t>
      </w:r>
      <w:r>
        <w:t xml:space="preserve">, users complete </w:t>
      </w:r>
      <w:r>
        <w:rPr>
          <w:highlight w:val="yellow"/>
          <w:highlightCs w:val="yellow"/>
        </w:rPr>
        <w:t xml:space="preserve">[the relevant module]</w:t>
      </w:r>
      <w:r>
        <w:t xml:space="preserve">.</w:t>
      </w:r>
    </w:p>
    <w:p>
      <w:pPr>
        <w:pStyle w:val="ListParagraph"/>
        <w:numPr>
          <w:ilvl w:val="0"/>
          <w:numId w:val="12"/>
        </w:numPr>
      </w:pPr>
      <w:r>
        <w:rPr>
          <w:highlight w:val="yellow"/>
          <w:highlightCs w:val="yellow"/>
        </w:rPr>
        <w:t xml:space="preserve">[The AI Governance Group / HR]</w:t>
      </w:r>
      <w:r>
        <w:t xml:space="preserve"> keeps an internal record of the AI literacy measures offered, the target groups and the dates. No certificate or test is required by law.</w:t>
      </w:r>
    </w:p>
    <w:p>
      <w:pPr>
        <w:pStyle w:val="ListParagraph"/>
        <w:numPr>
          <w:ilvl w:val="0"/>
          <w:numId w:val="12"/>
        </w:numPr>
      </w:pPr>
      <w:r>
        <w:t xml:space="preserve">The measures are reviewed at least annually and when new tools or uses are approved.</w:t>
      </w:r>
    </w:p>
    <w:p>
      <w:pPr>
        <w:pStyle w:val="Heading1"/>
      </w:pPr>
      <w:r>
        <w:t xml:space="preserve">13. Prohibited uses</w:t>
      </w:r>
    </w:p>
    <w:p>
      <w:pPr>
        <w:spacing w:after="120"/>
      </w:pPr>
      <w:r>
        <w:t xml:space="preserve">The following uses are prohibited. Several are prohibited by Article 5 of the AI Act, which has applied since 2 February 2025:</w:t>
      </w:r>
    </w:p>
    <w:p>
      <w:pPr>
        <w:pStyle w:val="ListParagraph"/>
        <w:numPr>
          <w:ilvl w:val="0"/>
          <w:numId w:val="13"/>
        </w:numPr>
      </w:pPr>
      <w:r>
        <w:t xml:space="preserve">Any AI system that infers the emotions of students, applicants or staff, in teaching, examinations, admissions or the workplace, except where the system is intended for medical or safety reasons (Article 5(1)(f) AI Act).</w:t>
      </w:r>
    </w:p>
    <w:p>
      <w:pPr>
        <w:pStyle w:val="ListParagraph"/>
        <w:numPr>
          <w:ilvl w:val="0"/>
          <w:numId w:val="13"/>
        </w:numPr>
      </w:pPr>
      <w:r>
        <w:t xml:space="preserve">Biometric categorisation systems that categorise individuals on the basis of biometric data to deduce or infer race, political opinions, trade union membership, religious or philosophical beliefs, sex life or sexual orientation (Article 5(1)(g) AI Act).</w:t>
      </w:r>
    </w:p>
    <w:p>
      <w:pPr>
        <w:pStyle w:val="ListParagraph"/>
        <w:numPr>
          <w:ilvl w:val="0"/>
          <w:numId w:val="13"/>
        </w:numPr>
      </w:pPr>
      <w:r>
        <w:t xml:space="preserve">Social scoring of students or staff based on their social behaviour or personal characteristics leading to detrimental or unfavourable treatment (Article 5(1)(c) AI Act).</w:t>
      </w:r>
    </w:p>
    <w:p>
      <w:pPr>
        <w:pStyle w:val="ListParagraph"/>
        <w:numPr>
          <w:ilvl w:val="0"/>
          <w:numId w:val="13"/>
        </w:numPr>
      </w:pPr>
      <w:r>
        <w:t xml:space="preserve">Manipulative or deceptive techniques, or exploitation of vulnerabilities, that materially distort behaviour and cause or are likely to cause significant harm (Article 5(1)(a) and (b) AI Act).</w:t>
      </w:r>
    </w:p>
    <w:p>
      <w:pPr>
        <w:pStyle w:val="ListParagraph"/>
        <w:numPr>
          <w:ilvl w:val="0"/>
          <w:numId w:val="13"/>
        </w:numPr>
      </w:pPr>
      <w:r>
        <w:t xml:space="preserve">Generating non-consensual intimate imagery of identifiable persons or child sexual abuse material (Article 5(1)(ba) and (bb) AI Act, from 2 December 2026, and in any case prohibited by this policy now).</w:t>
      </w:r>
    </w:p>
    <w:p>
      <w:pPr>
        <w:pStyle w:val="ListParagraph"/>
        <w:numPr>
          <w:ilvl w:val="0"/>
          <w:numId w:val="13"/>
        </w:numPr>
      </w:pPr>
      <w:r>
        <w:rPr>
          <w:highlight w:val="yellow"/>
          <w:highlightCs w:val="yellow"/>
        </w:rPr>
        <w:t xml:space="preserve">[Any further uses the University prohibits, for example using AI as the sole basis for decisions on admission, grades, appointments or disciplinary matters.]</w:t>
      </w:r>
    </w:p>
    <w:p>
      <w:pPr>
        <w:pBdr>
          <w:left w:val="single" w:color="F59E0B" w:sz="18" w:space="8"/>
        </w:pBdr>
        <w:shd w:fill="FFFBEB" w:color="auto" w:val="clear"/>
        <w:spacing w:after="160" w:before="120"/>
      </w:pPr>
      <w:r>
        <w:rPr>
          <w:i/>
          <w:iCs/>
        </w:rPr>
        <w:t xml:space="preserve">Guidance: the list in Article 5 is longer. Points 1 to 5 are those most relevant to universities. Check the full Article 5 and the Commission's guidelines on prohibited AI practices before adoption.</w:t>
      </w:r>
    </w:p>
    <w:p>
      <w:pPr>
        <w:pStyle w:val="Heading1"/>
      </w:pPr>
      <w:r>
        <w:t xml:space="preserve">14. High-risk uses</w:t>
      </w:r>
    </w:p>
    <w:p>
      <w:pPr>
        <w:pStyle w:val="ListParagraph"/>
        <w:numPr>
          <w:ilvl w:val="0"/>
          <w:numId w:val="14"/>
        </w:numPr>
      </w:pPr>
      <w:r>
        <w:t xml:space="preserve">The following uses are high-risk under Annex III of the AI Act, unless the exception in Article 6(3) applies: (a) determining access or admission to education, or assigning people to programmes; (b) evaluating learning outcomes, including when used to steer the learning process; (c) assessing the level of education a person will receive or can access; (d) monitoring and detecting prohibited behaviour of students during tests; and, under point 4, recruitment and decisions on employment relationships.</w:t>
      </w:r>
    </w:p>
    <w:p>
      <w:pPr>
        <w:pStyle w:val="ListParagraph"/>
        <w:numPr>
          <w:ilvl w:val="0"/>
          <w:numId w:val="14"/>
        </w:numPr>
      </w:pPr>
      <w:r>
        <w:t xml:space="preserve">The AI Act obligations for these uses apply from 2 December 2027 (Article 113, as amended by Regulation (EU) 2026/1744). From the effective date of this policy, any new or existing high-risk use requires prior approval by </w:t>
      </w:r>
      <w:r>
        <w:rPr>
          <w:highlight w:val="yellow"/>
          <w:highlightCs w:val="yellow"/>
        </w:rPr>
        <w:t xml:space="preserve">[the AI Governance Group]</w:t>
      </w:r>
      <w:r>
        <w:t xml:space="preserve"> </w:t>
      </w:r>
      <w:r>
        <w:rPr>
          <w:highlight w:val="yellow"/>
          <w:highlightCs w:val="yellow"/>
        </w:rPr>
        <w:t xml:space="preserve">[and the governing body]</w:t>
      </w:r>
      <w:r>
        <w:t xml:space="preserve">.</w:t>
      </w:r>
    </w:p>
    <w:p>
      <w:pPr>
        <w:pStyle w:val="ListParagraph"/>
        <w:numPr>
          <w:ilvl w:val="0"/>
          <w:numId w:val="14"/>
        </w:numPr>
      </w:pPr>
      <w:r>
        <w:t xml:space="preserve">Before a high-risk use is approved, the owner provides: the provider's classification and instructions for use; the names and training of the people who will exercise human oversight; how logs will be kept for at least six months; how affected persons will be informed and how explanation requests will be handled; the DPIA; and, from 2 December 2027, the fundamental rights impact assessment required by Article 27 </w:t>
      </w:r>
      <w:r>
        <w:rPr>
          <w:highlight w:val="yellow"/>
          <w:highlightCs w:val="yellow"/>
        </w:rPr>
        <w:t xml:space="preserve">[where the University is a body governed by public law or provides a public service]</w:t>
      </w:r>
      <w:r>
        <w:t xml:space="preserve">.</w:t>
      </w:r>
    </w:p>
    <w:p>
      <w:pPr>
        <w:pStyle w:val="ListParagraph"/>
        <w:numPr>
          <w:ilvl w:val="0"/>
          <w:numId w:val="14"/>
        </w:numPr>
      </w:pPr>
      <w:r>
        <w:t xml:space="preserve">Where the University is a public authority, it registers its use of high-risk systems as required by Article 26(8) and Article 49 of the AI Act. </w:t>
      </w:r>
      <w:r>
        <w:rPr>
          <w:highlight w:val="yellow"/>
          <w:highlightCs w:val="yellow"/>
        </w:rPr>
        <w:t xml:space="preserve">[Legal office to confirm status.]</w:t>
      </w:r>
    </w:p>
    <w:p>
      <w:pPr>
        <w:pStyle w:val="ListParagraph"/>
        <w:numPr>
          <w:ilvl w:val="0"/>
          <w:numId w:val="14"/>
        </w:numPr>
      </w:pPr>
      <w:r>
        <w:t xml:space="preserve">Staff and their representatives are informed before a high-risk AI system is used at the workplace (Article 26(7)).</w:t>
      </w:r>
    </w:p>
    <w:p>
      <w:pPr>
        <w:pStyle w:val="ListParagraph"/>
        <w:numPr>
          <w:ilvl w:val="0"/>
          <w:numId w:val="14"/>
        </w:numPr>
      </w:pPr>
      <w:r>
        <w:t xml:space="preserve">Using a general-purpose tool, such as a chatbot, for a purpose listed in point 1 is treated as a high-risk use. Under Article 25(1)(c), the University may become the provider of that high-risk system.</w:t>
      </w:r>
    </w:p>
    <w:p>
      <w:pPr>
        <w:pStyle w:val="Heading1"/>
      </w:pPr>
      <w:r>
        <w:t xml:space="preserve">15. Transparency and AI-generated content</w:t>
      </w:r>
    </w:p>
    <w:p>
      <w:pPr>
        <w:pStyle w:val="ListParagraph"/>
        <w:numPr>
          <w:ilvl w:val="0"/>
          <w:numId w:val="15"/>
        </w:numPr>
      </w:pPr>
      <w:r>
        <w:t xml:space="preserve">Chatbots and other AI systems that the University offers to students, staff or the public make clear that people are interacting with AI, unless this is obvious from the context (Article 50(1) AI Act, where the University is the provider).</w:t>
      </w:r>
    </w:p>
    <w:p>
      <w:pPr>
        <w:pStyle w:val="ListParagraph"/>
        <w:numPr>
          <w:ilvl w:val="0"/>
          <w:numId w:val="15"/>
        </w:numPr>
      </w:pPr>
      <w:r>
        <w:t xml:space="preserve">Images, audio or video generated or manipulated by AI that resemble real people, places or events (deepfakes) are disclosed as AI-generated when published (Article 50(4)).</w:t>
      </w:r>
    </w:p>
    <w:p>
      <w:pPr>
        <w:pStyle w:val="ListParagraph"/>
        <w:numPr>
          <w:ilvl w:val="0"/>
          <w:numId w:val="15"/>
        </w:numPr>
      </w:pPr>
      <w:r>
        <w:t xml:space="preserve">AI-generated text published to inform the public on matters of public interest is disclosed as such, unless it has undergone human review or editorial control and a named person holds editorial responsibility (Article 50(4)).</w:t>
      </w:r>
    </w:p>
    <w:p>
      <w:pPr>
        <w:pStyle w:val="ListParagraph"/>
        <w:numPr>
          <w:ilvl w:val="0"/>
          <w:numId w:val="15"/>
        </w:numPr>
      </w:pPr>
      <w:r>
        <w:rPr>
          <w:highlight w:val="yellow"/>
          <w:highlightCs w:val="yellow"/>
        </w:rPr>
        <w:t xml:space="preserve">[Communications]</w:t>
      </w:r>
      <w:r>
        <w:t xml:space="preserve"> sets out how AI-generated content is labelled in University channels.</w:t>
      </w:r>
    </w:p>
    <w:p>
      <w:pPr>
        <w:pStyle w:val="Heading1"/>
      </w:pPr>
      <w:r>
        <w:t xml:space="preserve">16. Procurement and vendor assessment</w:t>
      </w:r>
    </w:p>
    <w:p>
      <w:pPr>
        <w:pStyle w:val="ListParagraph"/>
        <w:numPr>
          <w:ilvl w:val="0"/>
          <w:numId w:val="16"/>
        </w:numPr>
      </w:pPr>
      <w:r>
        <w:t xml:space="preserve">AI tools are procured through </w:t>
      </w:r>
      <w:r>
        <w:rPr>
          <w:highlight w:val="yellow"/>
          <w:highlightCs w:val="yellow"/>
        </w:rPr>
        <w:t xml:space="preserve">[the procurement process]</w:t>
      </w:r>
      <w:r>
        <w:t xml:space="preserve">. Units may not accept online terms for AI tools that will process information above </w:t>
      </w:r>
      <w:r>
        <w:rPr>
          <w:highlight w:val="yellow"/>
          <w:highlightCs w:val="yellow"/>
        </w:rPr>
        <w:t xml:space="preserve">[Public]</w:t>
      </w:r>
      <w:r>
        <w:t xml:space="preserve"> without approval under section 7.</w:t>
      </w:r>
    </w:p>
    <w:p>
      <w:pPr>
        <w:pStyle w:val="ListParagraph"/>
        <w:numPr>
          <w:ilvl w:val="0"/>
          <w:numId w:val="16"/>
        </w:numPr>
      </w:pPr>
      <w:r>
        <w:t xml:space="preserve">Before contracting, the University obtains and reviews: the vendor's data processing agreement and subprocessor list; data location and transfer mechanism; whether customer inputs or outputs are used to train models, and on which plans; retention and deletion; security certifications or reports; and, for AI Act purposes, the provider's classification of the system, its instructions for use and its plans for transparency obligations.</w:t>
      </w:r>
    </w:p>
    <w:p>
      <w:pPr>
        <w:pStyle w:val="ListParagraph"/>
        <w:numPr>
          <w:ilvl w:val="0"/>
          <w:numId w:val="16"/>
        </w:numPr>
      </w:pPr>
      <w:r>
        <w:t xml:space="preserve">Contracts for AI tools include: the data processing terms required by Article 28 GDPR; a commitment not to use University data to train or improve models without written consent; notice of changes to subprocessors and material changes to AI functions; audit and information rights; and, for high-risk uses, the information the University needs to meet its deployer duties under Articles 26 and 27 of the AI Act.</w:t>
      </w:r>
    </w:p>
    <w:p>
      <w:pPr>
        <w:pStyle w:val="ListParagraph"/>
        <w:numPr>
          <w:ilvl w:val="0"/>
          <w:numId w:val="16"/>
        </w:numPr>
      </w:pPr>
      <w:r>
        <w:t xml:space="preserve">Embedded AI features that a vendor adds to software the University already uses are assessed under section 7 before they are switched on for users.</w:t>
      </w:r>
    </w:p>
    <w:p>
      <w:pPr>
        <w:pStyle w:val="Heading1"/>
      </w:pPr>
      <w:r>
        <w:t xml:space="preserve">17. Incidents</w:t>
      </w:r>
    </w:p>
    <w:p>
      <w:pPr>
        <w:pStyle w:val="ListParagraph"/>
        <w:numPr>
          <w:ilvl w:val="0"/>
          <w:numId w:val="17"/>
        </w:numPr>
      </w:pPr>
      <w:r>
        <w:t xml:space="preserve">Suspected personal data breaches involving AI tools, such as personal data entered into an unapproved tool, are reported immediately to </w:t>
      </w:r>
      <w:r>
        <w:rPr>
          <w:highlight w:val="yellow"/>
          <w:highlightCs w:val="yellow"/>
        </w:rPr>
        <w:t xml:space="preserve">[the incident contact]</w:t>
      </w:r>
      <w:r>
        <w:t xml:space="preserve"> under the University's personal data breach procedure.</w:t>
      </w:r>
    </w:p>
    <w:p>
      <w:pPr>
        <w:pStyle w:val="ListParagraph"/>
        <w:numPr>
          <w:ilvl w:val="0"/>
          <w:numId w:val="17"/>
        </w:numPr>
      </w:pPr>
      <w:r>
        <w:t xml:space="preserve">Serious malfunctions or harmful outputs of AI systems used in high-risk contexts are reported to </w:t>
      </w:r>
      <w:r>
        <w:rPr>
          <w:highlight w:val="yellow"/>
          <w:highlightCs w:val="yellow"/>
        </w:rPr>
        <w:t xml:space="preserve">[the AI Governance Group]</w:t>
      </w:r>
      <w:r>
        <w:t xml:space="preserve">, which informs the provider and, where Article 26(5) requires it, the competent authority.</w:t>
      </w:r>
    </w:p>
    <w:p>
      <w:pPr>
        <w:pStyle w:val="Heading1"/>
      </w:pPr>
      <w:r>
        <w:t xml:space="preserve">18. Non-compliance</w:t>
      </w:r>
    </w:p>
    <w:p>
      <w:pPr>
        <w:spacing w:after="120"/>
      </w:pPr>
      <w:r>
        <w:t xml:space="preserve">Breaches of this policy are handled under </w:t>
      </w:r>
      <w:r>
        <w:rPr>
          <w:highlight w:val="yellow"/>
          <w:highlightCs w:val="yellow"/>
        </w:rPr>
        <w:t xml:space="preserve">[the staff disciplinary procedure]</w:t>
      </w:r>
      <w:r>
        <w:t xml:space="preserve">, </w:t>
      </w:r>
      <w:r>
        <w:rPr>
          <w:highlight w:val="yellow"/>
          <w:highlightCs w:val="yellow"/>
        </w:rPr>
        <w:t xml:space="preserve">[the student disciplinary or academic misconduct procedure]</w:t>
      </w:r>
      <w:r>
        <w:t xml:space="preserve"> or </w:t>
      </w:r>
      <w:r>
        <w:rPr>
          <w:highlight w:val="yellow"/>
          <w:highlightCs w:val="yellow"/>
        </w:rPr>
        <w:t xml:space="preserve">[the contract]</w:t>
      </w:r>
      <w:r>
        <w:t xml:space="preserve">, as applicable. The University may suspend access to an AI tool where its continued use creates an unacceptable risk.</w:t>
      </w:r>
    </w:p>
    <w:p>
      <w:pPr>
        <w:pStyle w:val="Heading1"/>
      </w:pPr>
      <w:r>
        <w:t xml:space="preserve">19. Review</w:t>
      </w:r>
    </w:p>
    <w:p>
      <w:pPr>
        <w:spacing w:after="120"/>
      </w:pPr>
      <w:r>
        <w:t xml:space="preserve">The policy owner reviews this policy at least every </w:t>
      </w:r>
      <w:r>
        <w:rPr>
          <w:highlight w:val="yellow"/>
          <w:highlightCs w:val="yellow"/>
        </w:rPr>
        <w:t xml:space="preserve">[12]</w:t>
      </w:r>
      <w:r>
        <w:t xml:space="preserve"> months, and earlier if the law, guidance from the European Commission or the supervisory authority, or the University's use of AI changes significantly. Pending changes at the time of drafting: the Commission's guidelines on high-risk classification and the AI Office template for the fundamental rights impact assessment. </w:t>
      </w:r>
      <w:r>
        <w:rPr>
          <w:highlight w:val="yellow"/>
          <w:highlightCs w:val="yellow"/>
        </w:rPr>
        <w:t xml:space="preserve">[Update this list at each review.]</w:t>
      </w:r>
    </w:p>
    <w:p>
      <w:pPr>
        <w:pStyle w:val="Heading1"/>
      </w:pPr>
      <w:r>
        <w:t xml:space="preserve">Annex A: AI tool approval checklist</w:t>
      </w:r>
    </w:p>
    <w:p>
      <w:pPr>
        <w:spacing w:after="120"/>
      </w:pPr>
      <w:r>
        <w:t xml:space="preserve">Complete one checklist per tool, per plan or configuration. Attach the evidence. "Result" is one of: OK, condition, gap, not applicable.</w:t>
      </w:r>
    </w:p>
    <w:p>
      <w:pPr>
        <w:pStyle w:val="Heading2"/>
      </w:pPr>
      <w:r>
        <w:t xml:space="preserve">A1. Request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3159"/>
        <w:gridCol w:w="1354"/>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 or evidence</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Result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Tool name, vendor, plan or licence, version</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Intended use, and who will use it (staff, students, researchers, public)</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Requesting unit, local owner and budget</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Highest information class the tool will receive</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an approved tool already available for this purpose? If so, why is a new tool needed?</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A2. Data protection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3159"/>
        <w:gridCol w:w="1354"/>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 or evidence</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Result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Will the tool process personal data? Which categories, including any special category data?</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Role of the vendor (processor, controller, joint controller) and legal basis for the University's processing</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processing agreement in place and checked against Article 28(3) GDPR</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Subprocessor list obtained; notice of changes provided for</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Where data is stored and processed; transfers outside the EEA and transfer mechanism</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Are inputs, outputs or files used to train or improve models on this plan? Can this be switched off contractually?</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Retention periods for prompts, outputs, files and logs; deletion on request and at contract end</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DPIA required? If yes, completed and DPO consulted</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Privacy notice updated</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A3. Information security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3159"/>
        <w:gridCol w:w="1354"/>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 or evidence</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Result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Single sign-on with the University account; no personal accounts required</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Security certifications or reports (for example ISO/IEC 27001 certificate with scope, SOC 2 Type II report)</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Encryption in transit and at rest; access controls; administrator logging</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Integrations with other University systems (email, file storage, learning platform) and the permissions they request</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Security incident notification terms</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A4. EU AI Act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3159"/>
        <w:gridCol w:w="1354"/>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 or evidence</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Result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Does any function infer emotions of students or staff, categorise people by sensitive traits from biometric data, or score people socially? (If yes: not approved.)</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Will it be used for admission, evaluating learning outcomes, placement, proctoring, recruitment or employment decisions (Annex III points 3 and 4)?</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If yes: the provider's classification, reliance on Article 6(3) if any, instructions for use and conformity plans</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the University the deployer, or could it become a provider (own name, change of purpose under Article 25)?</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Does it interact with people or generate synthetic content? How are Article 50 transparency duties met, and by whom?</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Which AI literacy measures will users receive before access?</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A5. Education and research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3159"/>
        <w:gridCol w:w="1354"/>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 or evidence</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Result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Accessible and available to all students who need it, at no extra cost where use is required</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Compatible with assessment rules and the academic integrity procedure</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 research: covered by the data management plan, ethics approval and participant information</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Outputs are traceable enough to support disclosure and verification (version, model, date)</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Copyright and licence terms of outputs, and of content uploaded (for example licensed library material)</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A6. Contract, cost and exit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3159"/>
        <w:gridCol w:w="1354"/>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 or evidence</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Result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Procurement rules followed; total cost per year</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Commitment not to use University data for training without consent</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Notice of material changes to AI functions, models or terms</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export and deletion at the end of the contract</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Environmental information provided by the vendor, if any</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A7. Decision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Entry</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Outcome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[Approved / Approved with conditions / Not approved]</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Permitted information classes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Conditions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Decided by and date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Next review date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Annex B: AI use statement for assessed work</w:t>
      </w:r>
    </w:p>
    <w:p>
      <w:pPr>
        <w:spacing w:after="120"/>
      </w:pPr>
      <w:r>
        <w:t xml:space="preserve">Students attach this statement to assessed work where AI was used, or state "No AI tools were used in preparing this work."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Entry</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Tool(s), version and access route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example: [University AI platform]</w:t>
            </w:r>
            <w:r>
              <w:t xml:space="preserve">, model </w:t>
            </w:r>
            <w:r>
              <w:rPr>
                <w:highlight w:val="yellow"/>
                <w:highlightCs w:val="yellow"/>
              </w:rPr>
              <w:t xml:space="preserve">[name]</w:t>
            </w:r>
            <w:r>
              <w:t xml:space="preserve">, University login]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What I used it for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example: brainstorming the structure; checking grammar; summarising sources I had read; generating code for data cleaning]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Parts of the work affected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[sections, figures or code]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How I checked the output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example: verified every reference against the original source; rewrote the text in my own words; tested the code]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Declaration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 confirm that this statement is complete and that I take responsibility for the content of this work. </w:t>
            </w:r>
            <w:r>
              <w:rPr>
                <w:highlight w:val="yellow"/>
                <w:highlightCs w:val="yellow"/>
              </w:rPr>
              <w:t xml:space="preserve">[Name, date]</w:t>
            </w:r>
          </w:p>
        </w:tc>
      </w:tr>
    </w:tbl>
    <w:p/>
    <w:p>
      <w:pPr>
        <w:pStyle w:val="Heading1"/>
      </w:pPr>
      <w:r>
        <w:t xml:space="preserve">Annex C: Levels of AI use in assessment</w:t>
      </w:r>
    </w:p>
    <w:p>
      <w:pPr>
        <w:spacing w:after="120"/>
      </w:pPr>
      <w:r>
        <w:t xml:space="preserve">Course coordinators choose one level per assessment and state it in the course description.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25"/>
        <w:gridCol w:w="5145"/>
        <w:gridCol w:w="2257"/>
      </w:tblGrid>
      <w:tr>
        <w:trPr>
          <w:tblHeader/>
        </w:trPr>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Level</w:t>
            </w:r>
          </w:p>
        </w:tc>
        <w:tc>
          <w:tcPr>
            <w:tcW w:type="dxa" w:w="514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Description</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Disclosure</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0: No AI</w:t>
            </w:r>
          </w:p>
        </w:tc>
        <w:tc>
          <w:tcPr>
            <w:tcW w:type="dxa" w:w="514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tools may not be used. Typical for supervised examinations and assessments of basic skills.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 applicable</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 Support only</w:t>
            </w:r>
          </w:p>
        </w:tc>
        <w:tc>
          <w:tcPr>
            <w:tcW w:type="dxa" w:w="514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may be used for spelling, grammar, translation of the student's own text or finding sources, but not to generate content.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[Not required / statement in Annex B]</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Assisted</w:t>
            </w:r>
          </w:p>
        </w:tc>
        <w:tc>
          <w:tcPr>
            <w:tcW w:type="dxa" w:w="514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may be used for ideas, structure, feedback on drafts or code, as specified. The submitted content is the student's own.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Statement in Annex B</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 Integrated</w:t>
            </w:r>
          </w:p>
        </w:tc>
        <w:tc>
          <w:tcPr>
            <w:tcW w:type="dxa" w:w="514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Using AI is part of the task, for example evaluating or improving AI output. The student critically reviews and documents the use.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Statement in Annex B, with prompts where requested</w:t>
            </w:r>
          </w:p>
        </w:tc>
      </w:tr>
    </w:tbl>
    <w:p/>
    <w:p>
      <w:pPr>
        <w:pBdr>
          <w:left w:val="single" w:color="F59E0B" w:sz="18" w:space="8"/>
        </w:pBdr>
        <w:shd w:fill="FFFBEB" w:color="auto" w:val="clear"/>
        <w:spacing w:after="160" w:before="120"/>
      </w:pPr>
      <w:r>
        <w:rPr>
          <w:i/>
          <w:iCs/>
        </w:rPr>
        <w:t xml:space="preserve">Template prepared by Validemic (validemic.com), 7 October 2026. Sources: AI Act (Regulation (EU) 2024/1689) as amended by Regulation (EU) 2026/1744; European Commission, AI Literacy Questions and Answers; European Commission, Living guidelines on the responsible use of generative AI in research (third version, May 2026); ALLEA, European Code of Conduct for Research Integrity (revised edition 2023); GDPR. See the accompanying guide at validemic.com/guides/ai-policy-template-university/ for links.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abstractNum w:abstractNumId="10" w15:restartNumberingAfterBreak="0">
    <w:multiLevelType w:val="hybridMultilevel"/>
    <w:lvl w:ilvl="0" w15:tentative="1">
      <w:start w:val="1"/>
      <w:numFmt w:val="decimal"/>
      <w:lvlText w:val="%1."/>
      <w:lvlJc w:val="left"/>
      <w:pPr>
        <w:ind w:left="720" w:hanging="360"/>
      </w:pPr>
    </w:lvl>
  </w:abstractNum>
  <w:abstractNum w:abstractNumId="11" w15:restartNumberingAfterBreak="0">
    <w:multiLevelType w:val="hybridMultilevel"/>
    <w:lvl w:ilvl="0" w15:tentative="1">
      <w:start w:val="1"/>
      <w:numFmt w:val="decimal"/>
      <w:lvlText w:val="%1."/>
      <w:lvlJc w:val="left"/>
      <w:pPr>
        <w:ind w:left="720" w:hanging="360"/>
      </w:pPr>
    </w:lvl>
  </w:abstractNum>
  <w:abstractNum w:abstractNumId="12" w15:restartNumberingAfterBreak="0">
    <w:multiLevelType w:val="hybridMultilevel"/>
    <w:lvl w:ilvl="0" w15:tentative="1">
      <w:start w:val="1"/>
      <w:numFmt w:val="decimal"/>
      <w:lvlText w:val="%1."/>
      <w:lvlJc w:val="left"/>
      <w:pPr>
        <w:ind w:left="720" w:hanging="360"/>
      </w:pPr>
    </w:lvl>
  </w:abstractNum>
  <w:abstractNum w:abstractNumId="13" w15:restartNumberingAfterBreak="0">
    <w:multiLevelType w:val="hybridMultilevel"/>
    <w:lvl w:ilvl="0" w15:tentative="1">
      <w:start w:val="1"/>
      <w:numFmt w:val="decimal"/>
      <w:lvlText w:val="%1."/>
      <w:lvlJc w:val="left"/>
      <w:pPr>
        <w:ind w:left="720" w:hanging="360"/>
      </w:pPr>
    </w:lvl>
  </w:abstractNum>
  <w:abstractNum w:abstractNumId="14" w15:restartNumberingAfterBreak="0">
    <w:multiLevelType w:val="hybridMultilevel"/>
    <w:lvl w:ilvl="0" w15:tentative="1">
      <w:start w:val="1"/>
      <w:numFmt w:val="decimal"/>
      <w:lvlText w:val="%1."/>
      <w:lvlJc w:val="left"/>
      <w:pPr>
        <w:ind w:left="720" w:hanging="360"/>
      </w:pPr>
    </w:lvl>
  </w:abstractNum>
  <w:abstractNum w:abstractNumId="15" w15:restartNumberingAfterBreak="0">
    <w:multiLevelType w:val="hybridMultilevel"/>
    <w:lvl w:ilvl="0" w15:tentative="1">
      <w:start w:val="1"/>
      <w:numFmt w:val="decimal"/>
      <w:lvlText w:val="%1."/>
      <w:lvlJc w:val="left"/>
      <w:pPr>
        <w:ind w:left="720" w:hanging="360"/>
      </w:pPr>
    </w:lvl>
  </w:abstractNum>
  <w:abstractNum w:abstractNumId="16" w15:restartNumberingAfterBreak="0">
    <w:multiLevelType w:val="hybridMultilevel"/>
    <w:lvl w:ilvl="0" w15:tentative="1">
      <w:start w:val="1"/>
      <w:numFmt w:val="decimal"/>
      <w:lvlText w:val="%1."/>
      <w:lvlJc w:val="left"/>
      <w:pPr>
        <w:ind w:left="720" w:hanging="360"/>
      </w:pPr>
    </w:lvl>
  </w:abstractNum>
  <w:abstractNum w:abstractNumId="17" w15:restartNumberingAfterBreak="0">
    <w:multiLevelType w:val="hybridMultilevel"/>
    <w:lvl w:ilvl="0" w15:tentative="1">
      <w:start w:val="1"/>
      <w:numFmt w:val="decimal"/>
      <w:lvlText w:val="%1."/>
      <w:lvlJc w:val="left"/>
      <w:pPr>
        <w:ind w:left="720" w:hanging="360"/>
      </w:pPr>
    </w:lvl>
  </w:abstractNum>
  <w:abstractNum w:abstractNumId="18"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11"/>
    <w:lvlOverride w:ilvl="0">
      <w:startOverride w:val="1"/>
    </w:lvlOverride>
  </w:num>
  <w:num w:numId="11">
    <w:abstractNumId w:val="12"/>
    <w:lvlOverride w:ilvl="0">
      <w:startOverride w:val="1"/>
    </w:lvlOverride>
  </w:num>
  <w:num w:numId="12">
    <w:abstractNumId w:val="13"/>
    <w:lvlOverride w:ilvl="0">
      <w:startOverride w:val="1"/>
    </w:lvlOverride>
  </w:num>
  <w:num w:numId="13">
    <w:abstractNumId w:val="14"/>
    <w:lvlOverride w:ilvl="0">
      <w:startOverride w:val="1"/>
    </w:lvlOverride>
  </w:num>
  <w:num w:numId="14">
    <w:abstractNumId w:val="15"/>
    <w:lvlOverride w:ilvl="0">
      <w:startOverride w:val="1"/>
    </w:lvlOverride>
  </w:num>
  <w:num w:numId="15">
    <w:abstractNumId w:val="16"/>
    <w:lvlOverride w:ilvl="0">
      <w:startOverride w:val="1"/>
    </w:lvlOverride>
  </w:num>
  <w:num w:numId="16">
    <w:abstractNumId w:val="17"/>
    <w:lvlOverride w:ilvl="0">
      <w:startOverride w:val="1"/>
    </w:lvlOverride>
  </w:num>
  <w:num w:numId="17">
    <w:abstractNumId w:val="1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on the use of artificial intelligence at [University name]</dc:title>
  <dc:creator>Validemic</dc:creator>
  <cp:lastModifiedBy>Un-named</cp:lastModifiedBy>
  <cp:revision>1</cp:revision>
  <dcterms:created xsi:type="dcterms:W3CDTF">2026-10-07T02:31:32.171Z</dcterms:created>
  <dcterms:modified xsi:type="dcterms:W3CDTF">2026-10-07T02:31:32.172Z</dcterms:modified>
</cp:coreProperties>
</file>

<file path=docProps/custom.xml><?xml version="1.0" encoding="utf-8"?>
<Properties xmlns="http://schemas.openxmlformats.org/officeDocument/2006/custom-properties" xmlns:vt="http://schemas.openxmlformats.org/officeDocument/2006/docPropsVTypes"/>
</file>