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Contrato de subcontratação para o tratamento de dados pessoais</w:t>
      </w:r>
    </w:p>
    <w:p>
      <w:pPr>
        <w:spacing w:after="240"/>
      </w:pPr>
      <w:r>
        <w:rPr>
          <w:color w:val="64748B"/>
        </w:rPr>
        <w:t xml:space="preserve">Modelo para universidades, politécnicos e instituições de investigação (artigo 28.º do RGPD) · versão de outubro de 2026 · validemic.com/modelos/contrato-subcontratante-rgpd/</w:t>
      </w:r>
    </w:p>
    <w:p>
      <w:pPr>
        <w:pBdr>
          <w:left w:val="single" w:color="F59E0B" w:sz="18" w:space="8"/>
        </w:pBdr>
        <w:shd w:fill="FFFBEB" w:color="auto" w:val="clear"/>
        <w:spacing w:after="160" w:before="120"/>
      </w:pPr>
      <w:r>
        <w:rPr>
          <w:i/>
          <w:iCs/>
        </w:rPr>
        <w:t xml:space="preserve">Instruções de preenchimento (apagar antes de enviar ao fornecedor). Este modelo regula o tratamento de dados pessoais que um fornecedor (subcontratante) efetua por conta da sua instituição (responsável pelo tratamento) e contém todas as estipulações exigidas pelo artigo 28.º, n.º 3, do RGPD. Preencha todos os </w:t>
      </w:r>
      <w:r>
        <w:rPr>
          <w:i/>
          <w:iCs/>
          <w:highlight w:val="yellow"/>
          <w:highlightCs w:val="yellow"/>
        </w:rPr>
        <w:t xml:space="preserve">[campos a preencher]</w:t>
      </w:r>
      <w:r>
        <w:rPr>
          <w:i/>
          <w:iCs/>
        </w:rPr>
        <w:t xml:space="preserve"> assinalados a amarelo, escolha a opção pretendida onde surgir </w:t>
      </w:r>
      <w:r>
        <w:rPr>
          <w:i/>
          <w:iCs/>
          <w:highlight w:val="yellow"/>
          <w:highlightCs w:val="yellow"/>
        </w:rPr>
        <w:t xml:space="preserve">[OPÇÃO]</w:t>
      </w:r>
      <w:r>
        <w:rPr>
          <w:i/>
          <w:iCs/>
        </w:rPr>
        <w:t xml:space="preserve"> e apague a que não for escolhida. Preencha os anexos de forma concreta: o Comité Europeu para a Proteção de Dados (CEPD) sublinha que o contrato não deve limitar-se a reproduzir o RGPD, devendo antes explicar como os requisitos são cumpridos.</w:t>
      </w:r>
    </w:p>
    <w:p>
      <w:pPr>
        <w:pBdr>
          <w:left w:val="single" w:color="F59E0B" w:sz="18" w:space="8"/>
        </w:pBdr>
        <w:shd w:fill="FFFBEB" w:color="auto" w:val="clear"/>
        <w:spacing w:after="160" w:before="120"/>
      </w:pPr>
      <w:r>
        <w:rPr>
          <w:i/>
          <w:iCs/>
        </w:rPr>
        <w:t xml:space="preserve">Este modelo não constitui aconselhamento jurídico. Antes de o utilizar, peça ao jurista ou ao encarregado da proteção de dados (EPD) da sua instituição que o reveja e o articule com o contrato principal e com as peças do procedimento de contratação, quando existam.</w:t>
      </w:r>
    </w:p>
    <w:p>
      <w:pPr>
        <w:pStyle w:val="Heading1"/>
      </w:pPr>
      <w:r>
        <w:t xml:space="preserve">Partes</w:t>
      </w:r>
    </w:p>
    <w:p>
      <w:pPr>
        <w:spacing w:after="120"/>
      </w:pPr>
      <w:r>
        <w:t xml:space="preserve">1. </w:t>
      </w:r>
      <w:r>
        <w:rPr>
          <w:b/>
          <w:bCs/>
        </w:rPr>
        <w:t xml:space="preserve">[Denominação da instituição]</w:t>
      </w:r>
      <w:r>
        <w:t xml:space="preserve">, pessoa coletiva n.º </w:t>
      </w:r>
      <w:r>
        <w:rPr>
          <w:highlight w:val="yellow"/>
          <w:highlightCs w:val="yellow"/>
        </w:rPr>
        <w:t xml:space="preserve">[NIPC]</w:t>
      </w:r>
      <w:r>
        <w:t xml:space="preserve">, com sede em </w:t>
      </w:r>
      <w:r>
        <w:rPr>
          <w:highlight w:val="yellow"/>
          <w:highlightCs w:val="yellow"/>
        </w:rPr>
        <w:t xml:space="preserve">[morada]</w:t>
      </w:r>
      <w:r>
        <w:t xml:space="preserve">, neste ato representada por </w:t>
      </w:r>
      <w:r>
        <w:rPr>
          <w:highlight w:val="yellow"/>
          <w:highlightCs w:val="yellow"/>
        </w:rPr>
        <w:t xml:space="preserve">[nome e cargo]</w:t>
      </w:r>
      <w:r>
        <w:t xml:space="preserve">, com poderes para o efeito (doravante </w:t>
      </w:r>
      <w:r>
        <w:rPr>
          <w:b/>
          <w:bCs/>
        </w:rPr>
        <w:t xml:space="preserve">Responsável pelo Tratamento</w:t>
      </w:r>
      <w:r>
        <w:t xml:space="preserve">); e</w:t>
      </w:r>
    </w:p>
    <w:p>
      <w:pPr>
        <w:spacing w:after="120"/>
      </w:pPr>
      <w:r>
        <w:t xml:space="preserve">2. </w:t>
      </w:r>
      <w:r>
        <w:rPr>
          <w:b/>
          <w:bCs/>
        </w:rPr>
        <w:t xml:space="preserve">[Denominação do fornecedor]</w:t>
      </w:r>
      <w:r>
        <w:t xml:space="preserve">, pessoa coletiva n.º </w:t>
      </w:r>
      <w:r>
        <w:rPr>
          <w:highlight w:val="yellow"/>
          <w:highlightCs w:val="yellow"/>
        </w:rPr>
        <w:t xml:space="preserve">[NIPC ou número de registo estrangeiro]</w:t>
      </w:r>
      <w:r>
        <w:t xml:space="preserve">, com sede em </w:t>
      </w:r>
      <w:r>
        <w:rPr>
          <w:highlight w:val="yellow"/>
          <w:highlightCs w:val="yellow"/>
        </w:rPr>
        <w:t xml:space="preserve">[morada]</w:t>
      </w:r>
      <w:r>
        <w:t xml:space="preserve">, neste ato representada por </w:t>
      </w:r>
      <w:r>
        <w:rPr>
          <w:highlight w:val="yellow"/>
          <w:highlightCs w:val="yellow"/>
        </w:rPr>
        <w:t xml:space="preserve">[nome e cargo]</w:t>
      </w:r>
      <w:r>
        <w:t xml:space="preserve">, com poderes para o efeito (doravante </w:t>
      </w:r>
      <w:r>
        <w:rPr>
          <w:b/>
          <w:bCs/>
        </w:rPr>
        <w:t xml:space="preserve">Subcontratante</w:t>
      </w:r>
      <w:r>
        <w:t xml:space="preserve">),</w:t>
      </w:r>
    </w:p>
    <w:p>
      <w:pPr>
        <w:spacing w:after="120"/>
      </w:pPr>
      <w:r>
        <w:t xml:space="preserve">doravante designadas em conjunto </w:t>
      </w:r>
      <w:r>
        <w:rPr>
          <w:b/>
          <w:bCs/>
        </w:rPr>
        <w:t xml:space="preserve">Partes</w:t>
      </w:r>
      <w:r>
        <w:t xml:space="preserve"> e individualmente </w:t>
      </w:r>
      <w:r>
        <w:rPr>
          <w:b/>
          <w:bCs/>
        </w:rPr>
        <w:t xml:space="preserve">Parte</w:t>
      </w:r>
      <w:r>
        <w:t xml:space="preserve">.</w:t>
      </w:r>
    </w:p>
    <w:p>
      <w:pPr>
        <w:pStyle w:val="Heading2"/>
      </w:pPr>
      <w:r>
        <w:t xml:space="preserve">Considerandos</w:t>
      </w:r>
    </w:p>
    <w:p>
      <w:pPr>
        <w:pStyle w:val="ListParagraph"/>
        <w:numPr>
          <w:ilvl w:val="0"/>
          <w:numId w:val="2"/>
        </w:numPr>
      </w:pPr>
      <w:r>
        <w:t xml:space="preserve">As Partes celebraram em </w:t>
      </w:r>
      <w:r>
        <w:rPr>
          <w:highlight w:val="yellow"/>
          <w:highlightCs w:val="yellow"/>
        </w:rPr>
        <w:t xml:space="preserve">[data]</w:t>
      </w:r>
      <w:r>
        <w:t xml:space="preserve"> um contrato para </w:t>
      </w:r>
      <w:r>
        <w:rPr>
          <w:highlight w:val="yellow"/>
          <w:highlightCs w:val="yellow"/>
        </w:rPr>
        <w:t xml:space="preserve">[descrição do serviço, por exemplo o fornecimento de uma plataforma de inquéritos em linha]</w:t>
      </w:r>
      <w:r>
        <w:t xml:space="preserve"> (doravante </w:t>
      </w:r>
      <w:r>
        <w:rPr>
          <w:b/>
          <w:bCs/>
        </w:rPr>
        <w:t xml:space="preserve">Contrato Principal</w:t>
      </w:r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Na execução do Contrato Principal, o Subcontratante trata dados pessoais por conta do Responsável pelo Tratamento, que determina as finalidades e os meios desse tratamento.</w:t>
      </w:r>
    </w:p>
    <w:p>
      <w:pPr>
        <w:pStyle w:val="ListParagraph"/>
        <w:numPr>
          <w:ilvl w:val="0"/>
          <w:numId w:val="2"/>
        </w:numPr>
      </w:pPr>
      <w:r>
        <w:t xml:space="preserve">As Partes pretendem regular esse tratamento nos termos do artigo 28.º do Regulamento (UE) 2016/679 (Regulamento Geral sobre a Proteção de Dados, doravante </w:t>
      </w:r>
      <w:r>
        <w:rPr>
          <w:b/>
          <w:bCs/>
        </w:rPr>
        <w:t xml:space="preserve">RGPD</w:t>
      </w:r>
      <w:r>
        <w:t xml:space="preserve">) e da Lei n.º 58/2019, de 8 de agosto.</w:t>
      </w:r>
    </w:p>
    <w:p>
      <w:pPr>
        <w:spacing w:after="120"/>
      </w:pPr>
      <w:r>
        <w:t xml:space="preserve">É celebrado o presente contrato, que se rege pelas cláusulas seguintes:</w:t>
      </w:r>
    </w:p>
    <w:p>
      <w:pPr>
        <w:pStyle w:val="Heading2"/>
      </w:pPr>
      <w:r>
        <w:t xml:space="preserve">Cláusula 1.ª (Definições e prevalência)</w:t>
      </w:r>
    </w:p>
    <w:p>
      <w:pPr>
        <w:spacing w:after="120"/>
      </w:pPr>
      <w:r>
        <w:t xml:space="preserve">1.1 Os termos utilizados neste contrato têm o significado que lhes é atribuído pelo artigo 4.º do RGPD. </w:t>
      </w:r>
      <w:r>
        <w:rPr>
          <w:b/>
          <w:bCs/>
        </w:rPr>
        <w:t xml:space="preserve">Dados Pessoais</w:t>
      </w:r>
      <w:r>
        <w:t xml:space="preserve"> são os dados pessoais tratados pelo Subcontratante por conta do Responsável pelo Tratamento no âmbito do Contrato Principal, descritos no Anexo I. </w:t>
      </w:r>
      <w:r>
        <w:rPr>
          <w:b/>
          <w:bCs/>
        </w:rPr>
        <w:t xml:space="preserve">Subcontratante Ulterior</w:t>
      </w:r>
      <w:r>
        <w:t xml:space="preserve"> é qualquer outro subcontratante a que o Subcontratante recorra para tratar Dados Pessoais.</w:t>
      </w:r>
    </w:p>
    <w:p>
      <w:pPr>
        <w:spacing w:after="120"/>
      </w:pPr>
      <w:r>
        <w:t xml:space="preserve">1.2 Os anexos fazem parte integrante deste contrato.</w:t>
      </w:r>
    </w:p>
    <w:p>
      <w:pPr>
        <w:spacing w:after="120"/>
      </w:pPr>
      <w:r>
        <w:t xml:space="preserve">1.3 Em caso de contradição entre este contrato e o Contrato Principal, condições gerais, políticas ou quaisquer outros documentos do Subcontratante, prevalece este contrato em tudo o que respeite ao tratamento de Dados Pessoais. Alterações unilaterais de condições gerais ou de documentos publicados no sítio web do Subcontratante não alteram este contrato.</w:t>
      </w:r>
    </w:p>
    <w:p>
      <w:pPr>
        <w:pStyle w:val="Heading2"/>
      </w:pPr>
      <w:r>
        <w:t xml:space="preserve">Cláusula 2.ª (Objeto, instruções e limitação das finalidades)</w:t>
      </w:r>
    </w:p>
    <w:p>
      <w:pPr>
        <w:spacing w:after="120"/>
      </w:pPr>
      <w:r>
        <w:t xml:space="preserve">2.1 O Subcontratante trata os Dados Pessoais apenas mediante instruções documentadas do Responsável pelo Tratamento, incluindo no que respeita a transferências para países terceiros ou organizações internacionais. Consideram-se instruções documentadas este contrato, o Contrato Principal e o Anexo I, bem como as instruções escritas adicionais que o Responsável pelo Tratamento venha a dar, as quais o Subcontratante conserva juntamente com este contrato.</w:t>
      </w:r>
    </w:p>
    <w:p>
      <w:pPr>
        <w:spacing w:after="120"/>
      </w:pPr>
      <w:r>
        <w:t xml:space="preserve">2.2 O objeto, a duração, a natureza e a finalidade do tratamento, o tipo de Dados Pessoais e as categorias de titulares constam do Anexo I.</w:t>
      </w:r>
    </w:p>
    <w:p>
      <w:pPr>
        <w:spacing w:after="120"/>
      </w:pPr>
      <w:r>
        <w:t xml:space="preserve">2.3 O Subcontratante não trata os Dados Pessoais para finalidades próprias, incluindo o desenvolvimento, o treino ou a melhoria de produtos ou de modelos de inteligência artificial, a definição de perfis, o marketing ou a venda a terceiros. </w:t>
      </w:r>
      <w:r>
        <w:rPr>
          <w:highlight w:val="yellow"/>
          <w:highlightCs w:val="yellow"/>
        </w:rPr>
        <w:t xml:space="preserve">[OPÇÃO A: Não são admitidas exceções.]</w:t>
      </w:r>
      <w:r>
        <w:t xml:space="preserve"> </w:t>
      </w:r>
      <w:r>
        <w:rPr>
          <w:highlight w:val="yellow"/>
          <w:highlightCs w:val="yellow"/>
        </w:rPr>
        <w:t xml:space="preserve">[OPÇÃO B: São apenas admitidas as seguintes finalidades próprias, expressamente descritas: [descrição]</w:t>
      </w:r>
      <w:r>
        <w:t xml:space="preserve">. Quanto a esses tratamentos, o Subcontratante atua como responsável pelo tratamento e utiliza, sempre que possível, apenas dados agregados ou anonimizados.]</w:t>
      </w:r>
    </w:p>
    <w:p>
      <w:pPr>
        <w:spacing w:after="120"/>
      </w:pPr>
      <w:r>
        <w:t xml:space="preserve">2.4 Se o direito da União ou de um Estado-Membro obrigar o Subcontratante a tratar os Dados Pessoais de forma diferente da prevista nas instruções, o Subcontratante informa o Responsável pelo Tratamento desse requisito jurídico antes do tratamento, salvo se a lei proibir essa informação por motivos importantes de interesse público.</w:t>
      </w:r>
    </w:p>
    <w:p>
      <w:pPr>
        <w:spacing w:after="120"/>
      </w:pPr>
      <w:r>
        <w:t xml:space="preserve">2.5 O Subcontratante informa imediatamente o Responsável pelo Tratamento se, no seu entender, alguma instrução violar o RGPD ou outras disposições de proteção de dados. Pode suspender a execução dessa instrução até que o Responsável pelo Tratamento a confirme, altere ou retire. Se o Responsável pelo Tratamento insistir numa instrução que viole a lei, o Subcontratante pode resolver este contrato quanto ao tratamento em causa.</w:t>
      </w:r>
    </w:p>
    <w:p>
      <w:pPr>
        <w:pStyle w:val="Heading2"/>
      </w:pPr>
      <w:r>
        <w:t xml:space="preserve">Cláusula 3.ª (Confidencialidade)</w:t>
      </w:r>
    </w:p>
    <w:p>
      <w:pPr>
        <w:spacing w:after="120"/>
      </w:pPr>
      <w:r>
        <w:t xml:space="preserve">3.1 O Subcontratante assegura que todas as pessoas autorizadas a tratar os Dados Pessoais assumiram por escrito um compromisso de confidencialidade ou estão sujeitas a uma obrigação legal de confidencialidade adequada, que se mantém após a cessação das suas funções.</w:t>
      </w:r>
    </w:p>
    <w:p>
      <w:pPr>
        <w:spacing w:after="120"/>
      </w:pPr>
      <w:r>
        <w:t xml:space="preserve">3.2 O Subcontratante limita o acesso aos Dados Pessoais às pessoas que dele necessitem para executar o Contrato Principal e demonstra, a pedido, como cumpre esta cláusula.</w:t>
      </w:r>
    </w:p>
    <w:p>
      <w:pPr>
        <w:pStyle w:val="Heading2"/>
      </w:pPr>
      <w:r>
        <w:t xml:space="preserve">Cláusula 4.ª (Segurança do tratamento)</w:t>
      </w:r>
    </w:p>
    <w:p>
      <w:pPr>
        <w:spacing w:after="120"/>
      </w:pPr>
      <w:r>
        <w:t xml:space="preserve">4.1 O Subcontratante aplica todas as medidas técnicas e organizativas exigidas pelo artigo 32.º do RGPD, descritas de forma concreta no Anexo II.</w:t>
      </w:r>
    </w:p>
    <w:p>
      <w:pPr>
        <w:spacing w:after="120"/>
      </w:pPr>
      <w:r>
        <w:t xml:space="preserve">4.2 O Subcontratante reavalia as medidas pelo menos </w:t>
      </w:r>
      <w:r>
        <w:rPr>
          <w:highlight w:val="yellow"/>
          <w:highlightCs w:val="yellow"/>
        </w:rPr>
        <w:t xml:space="preserve">[anualmente]</w:t>
      </w:r>
      <w:r>
        <w:t xml:space="preserve"> e adapta-as à evolução técnica e aos riscos. Nenhuma alteração pode reduzir o nível de segurança descrito no Anexo II. Alterações significativas são comunicadas previamente ao Responsável pelo Tratamento, que as pode recusar se reduzirem a proteção.</w:t>
      </w:r>
    </w:p>
    <w:p>
      <w:pPr>
        <w:pStyle w:val="Heading2"/>
      </w:pPr>
      <w:r>
        <w:t xml:space="preserve">Cláusula 5.ª (Subcontratantes ulteriores)</w:t>
      </w:r>
    </w:p>
    <w:p>
      <w:pPr>
        <w:spacing w:after="120"/>
      </w:pPr>
      <w:r>
        <w:t xml:space="preserve">5.1 </w:t>
      </w:r>
      <w:r>
        <w:rPr>
          <w:highlight w:val="yellow"/>
          <w:highlightCs w:val="yellow"/>
        </w:rPr>
        <w:t xml:space="preserve">[OPÇÃO A: autorização específica]</w:t>
      </w:r>
      <w:r>
        <w:t xml:space="preserve"> O Subcontratante não recorre a nenhum Subcontratante Ulterior sem autorização prévia, específica e escrita do Responsável pelo Tratamento. O pedido é apresentado com pelo menos </w:t>
      </w:r>
      <w:r>
        <w:rPr>
          <w:highlight w:val="yellow"/>
          <w:highlightCs w:val="yellow"/>
        </w:rPr>
        <w:t xml:space="preserve">[30]</w:t>
      </w:r>
      <w:r>
        <w:t xml:space="preserve"> dias de antecedência e indica o nome, a localização, as tarefas e as garantias aplicadas. Na falta de resposta no prazo de </w:t>
      </w:r>
      <w:r>
        <w:rPr>
          <w:highlight w:val="yellow"/>
          <w:highlightCs w:val="yellow"/>
        </w:rPr>
        <w:t xml:space="preserve">[15]</w:t>
      </w:r>
      <w:r>
        <w:t xml:space="preserve"> dias úteis, o pedido considera-se recusado. Os Subcontratantes Ulteriores autorizados constam do Anexo III.</w:t>
      </w:r>
    </w:p>
    <w:p>
      <w:pPr>
        <w:spacing w:after="120"/>
      </w:pPr>
      <w:r>
        <w:t xml:space="preserve">5.1 </w:t>
      </w:r>
      <w:r>
        <w:rPr>
          <w:highlight w:val="yellow"/>
          <w:highlightCs w:val="yellow"/>
        </w:rPr>
        <w:t xml:space="preserve">[OPÇÃO B: autorização geral]</w:t>
      </w:r>
      <w:r>
        <w:t xml:space="preserve"> O Responsável pelo Tratamento concede autorização geral escrita para o recurso aos Subcontratantes Ulteriores constantes do Anexo III. O Subcontratante informa o Responsável pelo Tratamento por escrito, com pelo menos </w:t>
      </w:r>
      <w:r>
        <w:rPr>
          <w:highlight w:val="yellow"/>
          <w:highlightCs w:val="yellow"/>
        </w:rPr>
        <w:t xml:space="preserve">[30]</w:t>
      </w:r>
      <w:r>
        <w:t xml:space="preserve"> dias de antecedência, de quaisquer alterações pretendidas quanto ao aumento do número ou à substituição de Subcontratantes Ulteriores, indicando o nome, a localização, as tarefas e as garantias aplicadas. A mera atualização de uma lista publicada num sítio web não constitui informação para este efeito. O Responsável pelo Tratamento pode opor-se, de forma fundamentada, no prazo de </w:t>
      </w:r>
      <w:r>
        <w:rPr>
          <w:highlight w:val="yellow"/>
          <w:highlightCs w:val="yellow"/>
        </w:rPr>
        <w:t xml:space="preserve">[15]</w:t>
      </w:r>
      <w:r>
        <w:t xml:space="preserve"> dias úteis. Havendo oposição, a alteração não produz efeitos quanto aos Dados Pessoais e, se as Partes não chegarem a acordo no prazo de </w:t>
      </w:r>
      <w:r>
        <w:rPr>
          <w:highlight w:val="yellow"/>
          <w:highlightCs w:val="yellow"/>
        </w:rPr>
        <w:t xml:space="preserve">[30]</w:t>
      </w:r>
      <w:r>
        <w:t xml:space="preserve"> dias, o Responsável pelo Tratamento pode resolver o Contrato Principal quanto aos serviços afetados, sem penalização.</w:t>
      </w:r>
    </w:p>
    <w:p>
      <w:pPr>
        <w:spacing w:after="120"/>
      </w:pPr>
      <w:r>
        <w:t xml:space="preserve">5.2 O Subcontratante impõe a cada Subcontratante Ulterior, por contrato escrito, obrigações de proteção de dados substancialmente iguais às deste contrato, incluindo o dever de facilitar auditorias. A pedido, entrega ao Responsável pelo Tratamento cópia desse contrato, podendo ocultar informação comercial confidencial.</w:t>
      </w:r>
    </w:p>
    <w:p>
      <w:pPr>
        <w:spacing w:after="120"/>
      </w:pPr>
      <w:r>
        <w:t xml:space="preserve">5.3 O Subcontratante continua plenamente responsável perante o Responsável pelo Tratamento pelo cumprimento das obrigações dos Subcontratantes Ulteriores e informa-o de qualquer incumprimento.</w:t>
      </w:r>
    </w:p>
    <w:p>
      <w:pPr>
        <w:spacing w:after="120"/>
      </w:pPr>
      <w:r>
        <w:t xml:space="preserve">5.4 </w:t>
      </w:r>
      <w:r>
        <w:rPr>
          <w:highlight w:val="yellow"/>
          <w:highlightCs w:val="yellow"/>
        </w:rPr>
        <w:t xml:space="preserve">[Recomendado]</w:t>
      </w:r>
      <w:r>
        <w:t xml:space="preserve"> O Subcontratante acorda com cada Subcontratante Ulterior que, em caso de desaparecimento de facto, extinção ou insolvência do Subcontratante, o Responsável pelo Tratamento pode resolver o contrato com o Subcontratante Ulterior e dar-lhe instruções para apagar ou devolver os Dados Pessoais.</w:t>
      </w:r>
    </w:p>
    <w:p>
      <w:pPr>
        <w:pStyle w:val="Heading2"/>
      </w:pPr>
      <w:r>
        <w:t xml:space="preserve">Cláusula 6.ª (Transferências internacionais)</w:t>
      </w:r>
    </w:p>
    <w:p>
      <w:pPr>
        <w:spacing w:after="120"/>
      </w:pPr>
      <w:r>
        <w:t xml:space="preserve">6.1 O Subcontratante e os Subcontratantes Ulteriores tratam os Dados Pessoais exclusivamente no Espaço Económico Europeu (EEE), salvo se o Anexo IV previr outra coisa. O acesso remoto a partir de um país terceiro, incluindo para suporte técnico, é considerado tratamento fora do EEE.</w:t>
      </w:r>
    </w:p>
    <w:p>
      <w:pPr>
        <w:spacing w:after="120"/>
      </w:pPr>
      <w:r>
        <w:t xml:space="preserve">6.2 Qualquer transferência para um país terceiro ou organização internacional só se realiza com base em instruções documentadas do Responsável pelo Tratamento e em cumprimento do capítulo V do RGPD. O Anexo IV identifica, para cada transferência, o destinatário, o país, o fundamento (decisão de adequação, cláusulas contratuais-tipo ou outro) e as medidas suplementares aplicadas.</w:t>
      </w:r>
    </w:p>
    <w:p>
      <w:pPr>
        <w:spacing w:after="120"/>
      </w:pPr>
      <w:r>
        <w:t xml:space="preserve">6.3 O Subcontratante presta ao Responsável pelo Tratamento a informação necessária para avaliar as transferências, incluindo sobre a legislação do país de destino que permita o acesso de autoridades públicas aos dados.</w:t>
      </w:r>
    </w:p>
    <w:p>
      <w:pPr>
        <w:spacing w:after="120"/>
      </w:pPr>
      <w:r>
        <w:t xml:space="preserve">6.4 Se o fundamento de uma transferência deixar de ser válido, nomeadamente por decisão do Tribunal de Justiça da União Europeia ou da Comissão Europeia, o Subcontratante informa imediatamente o Responsável pelo Tratamento e, em articulação com este, adota medidas alternativas ou cessa a transferência.</w:t>
      </w:r>
    </w:p>
    <w:p>
      <w:pPr>
        <w:pStyle w:val="Heading2"/>
      </w:pPr>
      <w:r>
        <w:t xml:space="preserve">Cláusula 7.ª (Direitos dos titulares dos dados)</w:t>
      </w:r>
    </w:p>
    <w:p>
      <w:pPr>
        <w:spacing w:after="120"/>
      </w:pPr>
      <w:r>
        <w:t xml:space="preserve">7.1 Tendo em conta a natureza do tratamento, o Subcontratante presta assistência ao Responsável pelo Tratamento, através de medidas técnicas e organizativas adequadas, para que este possa responder aos pedidos de exercício dos direitos previstos no capítulo III do RGPD, nomeadamente acesso, retificação, apagamento, limitação, portabilidade e oposição.</w:t>
      </w:r>
    </w:p>
    <w:p>
      <w:pPr>
        <w:spacing w:after="120"/>
      </w:pPr>
      <w:r>
        <w:t xml:space="preserve">7.2 Se receber diretamente um pedido de um titular, o Subcontratante encaminha-o ao Responsável pelo Tratamento no prazo de </w:t>
      </w:r>
      <w:r>
        <w:rPr>
          <w:highlight w:val="yellow"/>
          <w:highlightCs w:val="yellow"/>
        </w:rPr>
        <w:t xml:space="preserve">[2]</w:t>
      </w:r>
      <w:r>
        <w:t xml:space="preserve"> dias úteis e não lhe responde sem autorização deste.</w:t>
      </w:r>
    </w:p>
    <w:p>
      <w:pPr>
        <w:pStyle w:val="Heading2"/>
      </w:pPr>
      <w:r>
        <w:t xml:space="preserve">Cláusula 8.ª (Violações de dados pessoais)</w:t>
      </w:r>
    </w:p>
    <w:p>
      <w:pPr>
        <w:spacing w:after="120"/>
      </w:pPr>
      <w:r>
        <w:t xml:space="preserve">8.1 O Subcontratante notifica o Responsável pelo Tratamento sem demora injustificada e, em qualquer caso, no prazo de </w:t>
      </w:r>
      <w:r>
        <w:rPr>
          <w:highlight w:val="yellow"/>
          <w:highlightCs w:val="yellow"/>
        </w:rPr>
        <w:t xml:space="preserve">[24]</w:t>
      </w:r>
      <w:r>
        <w:t xml:space="preserve"> horas após ter conhecimento de uma violação de dados pessoais, através do ponto de contacto indicado no Anexo I.</w:t>
      </w:r>
    </w:p>
    <w:p>
      <w:pPr>
        <w:spacing w:after="120"/>
      </w:pPr>
      <w:r>
        <w:t xml:space="preserve">8.2 A notificação inclui, pelo menos: a descrição da natureza da violação, incluindo, se possível, as categorias e o número aproximado de titulares e de registos afetados; o nome e os contactos de um ponto de contacto; as consequências prováveis; e as medidas adotadas ou propostas para a reparar e atenuar os seus efeitos. A informação que não esteja disponível de imediato é prestada por fases, sem demora injustificada.</w:t>
      </w:r>
    </w:p>
    <w:p>
      <w:pPr>
        <w:spacing w:after="120"/>
      </w:pPr>
      <w:r>
        <w:t xml:space="preserve">8.3 O Subcontratante adota de imediato medidas para conter a violação e presta assistência ao Responsável pelo Tratamento no cumprimento dos artigos 33.º e 34.º do RGPD. Não notifica a autoridade de controlo nem os titulares sem acordo do Responsável pelo Tratamento, salvo obrigação legal.</w:t>
      </w:r>
    </w:p>
    <w:p>
      <w:pPr>
        <w:spacing w:after="120"/>
      </w:pPr>
      <w:r>
        <w:t xml:space="preserve">8.4 O Subcontratante documenta todas as violações que envolvam os Dados Pessoais e disponibiliza essa documentação ao Responsável pelo Tratamento.</w:t>
      </w:r>
    </w:p>
    <w:p>
      <w:pPr>
        <w:pStyle w:val="Heading2"/>
      </w:pPr>
      <w:r>
        <w:t xml:space="preserve">Cláusula 9.ª (Avaliação de impacto e consulta prévia)</w:t>
      </w:r>
    </w:p>
    <w:p>
      <w:pPr>
        <w:spacing w:after="120"/>
      </w:pPr>
      <w:r>
        <w:t xml:space="preserve">9.1 Tendo em conta a natureza do tratamento e a informação ao seu dispor, o Subcontratante presta assistência ao Responsável pelo Tratamento na realização de avaliações de impacto sobre a proteção de dados (AIPD) e em eventuais consultas prévias à Comissão Nacional de Proteção de Dados (CNPD), nos termos dos artigos 35.º e 36.º do RGPD.</w:t>
      </w:r>
    </w:p>
    <w:p>
      <w:pPr>
        <w:spacing w:after="120"/>
      </w:pPr>
      <w:r>
        <w:t xml:space="preserve">9.2 Para esse efeito, o Subcontratante responde no prazo de </w:t>
      </w:r>
      <w:r>
        <w:rPr>
          <w:highlight w:val="yellow"/>
          <w:highlightCs w:val="yellow"/>
        </w:rPr>
        <w:t xml:space="preserve">[10]</w:t>
      </w:r>
      <w:r>
        <w:t xml:space="preserve"> dias úteis a pedidos razoáveis de informação sobre o funcionamento do serviço, os fluxos de dados, os Subcontratantes Ulteriores e as medidas de segurança.</w:t>
      </w:r>
    </w:p>
    <w:p>
      <w:pPr>
        <w:pStyle w:val="Heading2"/>
      </w:pPr>
      <w:r>
        <w:t xml:space="preserve">Cláusula 10.ª (Informação e auditorias)</w:t>
      </w:r>
    </w:p>
    <w:p>
      <w:pPr>
        <w:spacing w:after="120"/>
      </w:pPr>
      <w:r>
        <w:t xml:space="preserve">10.1 O Subcontratante disponibiliza ao Responsável pelo Tratamento todas as informações necessárias para demonstrar o cumprimento do artigo 28.º do RGPD e deste contrato, incluindo, a pedido, as partes relevantes do seu registo de atividades de tratamento.</w:t>
      </w:r>
    </w:p>
    <w:p>
      <w:pPr>
        <w:spacing w:after="120"/>
      </w:pPr>
      <w:r>
        <w:t xml:space="preserve">10.2 O Subcontratante entrega, a pedido e pelo menos </w:t>
      </w:r>
      <w:r>
        <w:rPr>
          <w:highlight w:val="yellow"/>
          <w:highlightCs w:val="yellow"/>
        </w:rPr>
        <w:t xml:space="preserve">[anualmente]</w:t>
      </w:r>
      <w:r>
        <w:t xml:space="preserve">, um relatório de auditoria ou certificado atualizado de um auditor independente, indicando o seu âmbito e validade.</w:t>
      </w:r>
    </w:p>
    <w:p>
      <w:pPr>
        <w:spacing w:after="120"/>
      </w:pPr>
      <w:r>
        <w:t xml:space="preserve">10.3 O Subcontratante permite e contribui para auditorias, incluindo inspeções, realizadas pelo Responsável pelo Tratamento ou por auditor por este mandatado, mediante pré-aviso de </w:t>
      </w:r>
      <w:r>
        <w:rPr>
          <w:highlight w:val="yellow"/>
          <w:highlightCs w:val="yellow"/>
        </w:rPr>
        <w:t xml:space="preserve">[15]</w:t>
      </w:r>
      <w:r>
        <w:t xml:space="preserve"> dias úteis, ou sem pré-aviso em caso de violação de dados ou de indícios sérios de incumprimento. A escolha final do auditor cabe ao Responsável pelo Tratamento.</w:t>
      </w:r>
    </w:p>
    <w:p>
      <w:pPr>
        <w:spacing w:after="120"/>
      </w:pPr>
      <w:r>
        <w:t xml:space="preserve">10.4 Cada Parte suporta os seus próprios custos de auditoria. Se a auditoria revelar um incumprimento relevante, o Subcontratante suporta os custos razoáveis da auditoria e corrige as deficiências no prazo acordado. Não podem ser cobrados encargos que tornem o direito de auditoria inexequível na prática.</w:t>
      </w:r>
    </w:p>
    <w:p>
      <w:pPr>
        <w:pStyle w:val="Heading2"/>
      </w:pPr>
      <w:r>
        <w:t xml:space="preserve">Cláusula 11.ª (Pedidos de autoridades)</w:t>
      </w:r>
    </w:p>
    <w:p>
      <w:pPr>
        <w:spacing w:after="120"/>
      </w:pPr>
      <w:r>
        <w:t xml:space="preserve">11.1 Se receber de uma autoridade pública um pedido ou ordem de acesso aos Dados Pessoais, o Subcontratante informa de imediato o Responsável pelo Tratamento, salvo se a lei o proibir, e não divulga mais dados do que os estritamente exigidos.</w:t>
      </w:r>
    </w:p>
    <w:p>
      <w:pPr>
        <w:spacing w:after="120"/>
      </w:pPr>
      <w:r>
        <w:t xml:space="preserve">11.2 Se o pedido provier de uma autoridade ou tribunal de um país terceiro, o Subcontratante só divulga os Dados Pessoais nas condições do artigo 48.º do RGPD, avalia a legalidade do pedido e, quando haja fundamento, contesta-o.</w:t>
      </w:r>
    </w:p>
    <w:p>
      <w:pPr>
        <w:pStyle w:val="Heading2"/>
      </w:pPr>
      <w:r>
        <w:t xml:space="preserve">Cláusula 12.ª (Duração, cessação, devolução e apagamento)</w:t>
      </w:r>
    </w:p>
    <w:p>
      <w:pPr>
        <w:spacing w:after="120"/>
      </w:pPr>
      <w:r>
        <w:t xml:space="preserve">12.1 Este contrato vigora enquanto o Subcontratante tratar Dados Pessoais por conta do Responsável pelo Tratamento, independentemente da cessação do Contrato Principal.</w:t>
      </w:r>
    </w:p>
    <w:p>
      <w:pPr>
        <w:spacing w:after="120"/>
      </w:pPr>
      <w:r>
        <w:t xml:space="preserve">12.2 Concluída a prestação dos serviços, o Subcontratante, consoante a escolha do Responsável pelo Tratamento comunicada por escrito, </w:t>
      </w:r>
      <w:r>
        <w:rPr>
          <w:highlight w:val="yellow"/>
          <w:highlightCs w:val="yellow"/>
        </w:rPr>
        <w:t xml:space="preserve">[OPÇÃO A: apaga todos os Dados Pessoais]</w:t>
      </w:r>
      <w:r>
        <w:t xml:space="preserve"> </w:t>
      </w:r>
      <w:r>
        <w:rPr>
          <w:highlight w:val="yellow"/>
          <w:highlightCs w:val="yellow"/>
        </w:rPr>
        <w:t xml:space="preserve">[OPÇÃO B: devolve todos os Dados Pessoais em [formato estruturado, de uso corrente e de leitura automática]</w:t>
      </w:r>
      <w:r>
        <w:t xml:space="preserve"> e apaga em seguida as cópias existentes], no prazo de </w:t>
      </w:r>
      <w:r>
        <w:rPr>
          <w:highlight w:val="yellow"/>
          <w:highlightCs w:val="yellow"/>
        </w:rPr>
        <w:t xml:space="preserve">[30]</w:t>
      </w:r>
      <w:r>
        <w:t xml:space="preserve"> dias, incluindo junto dos Subcontratantes Ulteriores. O Responsável pelo Tratamento pode alterar a escolha até à conclusão dos serviços.</w:t>
      </w:r>
    </w:p>
    <w:p>
      <w:pPr>
        <w:spacing w:after="120"/>
      </w:pPr>
      <w:r>
        <w:t xml:space="preserve">12.3 O apagamento é feito de forma segura, que torne a recuperação razoavelmente impossível. As cópias de segurança são apagadas no ciclo normal de rotação, no prazo máximo de </w:t>
      </w:r>
      <w:r>
        <w:rPr>
          <w:highlight w:val="yellow"/>
          <w:highlightCs w:val="yellow"/>
        </w:rPr>
        <w:t xml:space="preserve">[90]</w:t>
      </w:r>
      <w:r>
        <w:t xml:space="preserve"> dias, e mantêm-se protegidas até lá. O Subcontratante confirma por escrito o apagamento, indicando a data e o método.</w:t>
      </w:r>
    </w:p>
    <w:p>
      <w:pPr>
        <w:spacing w:after="120"/>
      </w:pPr>
      <w:r>
        <w:t xml:space="preserve">12.4 Se o direito da União ou de um Estado-Membro exigir a conservação de determinados dados, o Subcontratante informa o Responsável pelo Tratamento, conserva apenas esses dados, pelo prazo legal, e não os trata para qualquer outra finalidade.</w:t>
      </w:r>
    </w:p>
    <w:p>
      <w:pPr>
        <w:pStyle w:val="Heading2"/>
      </w:pPr>
      <w:r>
        <w:t xml:space="preserve">Cláusula 13.ª (Responsabilidade)</w:t>
      </w:r>
    </w:p>
    <w:p>
      <w:pPr>
        <w:spacing w:after="120"/>
      </w:pPr>
      <w:r>
        <w:t xml:space="preserve">13.1 </w:t>
      </w:r>
      <w:r>
        <w:rPr>
          <w:highlight w:val="yellow"/>
          <w:highlightCs w:val="yellow"/>
        </w:rPr>
        <w:t xml:space="preserve">[OPÇÃO A]</w:t>
      </w:r>
      <w:r>
        <w:t xml:space="preserve"> Aplica-se o regime de responsabilidade do Contrato Principal, com exceção de quaisquer limites que excluam ou limitem a responsabilidade por danos decorrentes de violação deste contrato ou do RGPD. </w:t>
      </w:r>
      <w:r>
        <w:rPr>
          <w:highlight w:val="yellow"/>
          <w:highlightCs w:val="yellow"/>
        </w:rPr>
        <w:t xml:space="preserve">[OPÇÃO B]</w:t>
      </w:r>
      <w:r>
        <w:t xml:space="preserve"> A responsabilidade do Subcontratante por violação deste contrato ou do RGPD está limitada a </w:t>
      </w:r>
      <w:r>
        <w:rPr>
          <w:highlight w:val="yellow"/>
          <w:highlightCs w:val="yellow"/>
        </w:rPr>
        <w:t xml:space="preserve">[montante]</w:t>
      </w:r>
      <w:r>
        <w:t xml:space="preserve">, salvo em caso de dolo ou culpa grave.</w:t>
      </w:r>
    </w:p>
    <w:p>
      <w:pPr>
        <w:spacing w:after="120"/>
      </w:pPr>
      <w:r>
        <w:t xml:space="preserve">13.2 O disposto nesta cláusula não prejudica o artigo 82.º do RGPD quanto à responsabilidade perante os titulares dos dados.</w:t>
      </w:r>
    </w:p>
    <w:p>
      <w:pPr>
        <w:pStyle w:val="Heading2"/>
      </w:pPr>
      <w:r>
        <w:t xml:space="preserve">Cláusula 14.ª (Alterações e revisão)</w:t>
      </w:r>
    </w:p>
    <w:p>
      <w:pPr>
        <w:spacing w:after="120"/>
      </w:pPr>
      <w:r>
        <w:t xml:space="preserve">14.1 As alterações a este contrato só são válidas se forem acordadas por escrito, incluindo em formato eletrónico, por ambas as Partes.</w:t>
      </w:r>
    </w:p>
    <w:p>
      <w:pPr>
        <w:spacing w:after="120"/>
      </w:pPr>
      <w:r>
        <w:t xml:space="preserve">14.2 As Partes reveem este contrato pelo menos </w:t>
      </w:r>
      <w:r>
        <w:rPr>
          <w:highlight w:val="yellow"/>
          <w:highlightCs w:val="yellow"/>
        </w:rPr>
        <w:t xml:space="preserve">[de dois em dois anos]</w:t>
      </w:r>
      <w:r>
        <w:t xml:space="preserve"> e sempre que haja alterações relevantes ao serviço, aos Subcontratantes Ulteriores, às transferências ou ao quadro legal.</w:t>
      </w:r>
    </w:p>
    <w:p>
      <w:pPr>
        <w:pStyle w:val="Heading2"/>
      </w:pPr>
      <w:r>
        <w:t xml:space="preserve">Cláusula 15.ª (Lei aplicável e foro)</w:t>
      </w:r>
    </w:p>
    <w:p>
      <w:pPr>
        <w:spacing w:after="120"/>
      </w:pPr>
      <w:r>
        <w:t xml:space="preserve">15.1 Este contrato rege-se pela lei portuguesa.</w:t>
      </w:r>
    </w:p>
    <w:p>
      <w:pPr>
        <w:spacing w:after="120"/>
      </w:pPr>
      <w:r>
        <w:t xml:space="preserve">15.2 Para a resolução de litígios é competente </w:t>
      </w:r>
      <w:r>
        <w:rPr>
          <w:highlight w:val="yellow"/>
          <w:highlightCs w:val="yellow"/>
        </w:rPr>
        <w:t xml:space="preserve">[o tribunal competente nos termos da lei / o tribunal indicado no Contrato Principal]</w:t>
      </w:r>
      <w:r>
        <w:t xml:space="preserve">.</w:t>
      </w:r>
    </w:p>
    <w:p>
      <w:pPr>
        <w:pStyle w:val="Heading2"/>
      </w:pPr>
      <w:r>
        <w:t xml:space="preserve">Assinaturas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Responsável pelo Tratamento</w:t>
            </w:r>
          </w:p>
        </w:tc>
        <w:tc>
          <w:tcPr>
            <w:tcW w:type="dxa" w:w="451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Subcontratante</w:t>
            </w:r>
          </w:p>
        </w:tc>
      </w:tr>
      <w:tr>
        <w:tc>
          <w:tcPr>
            <w:tcW w:type="dxa" w:w="451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Instituição: </w:t>
            </w:r>
            <w:r>
              <w:rPr>
                <w:highlight w:val="yellow"/>
                <w:highlightCs w:val="yellow"/>
              </w:rPr>
              <w:t xml:space="preserve">[denominação]</w:t>
            </w:r>
          </w:p>
        </w:tc>
        <w:tc>
          <w:tcPr>
            <w:tcW w:type="dxa" w:w="451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Fornecedor: </w:t>
            </w:r>
            <w:r>
              <w:rPr>
                <w:highlight w:val="yellow"/>
                <w:highlightCs w:val="yellow"/>
              </w:rPr>
              <w:t xml:space="preserve">[denominação]</w:t>
            </w:r>
          </w:p>
        </w:tc>
      </w:tr>
      <w:tr>
        <w:tc>
          <w:tcPr>
            <w:tcW w:type="dxa" w:w="451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Nome do signatário: </w:t>
            </w:r>
            <w:r>
              <w:rPr>
                <w:highlight w:val="yellow"/>
                <w:highlightCs w:val="yellow"/>
              </w:rPr>
              <w:t xml:space="preserve">[nome]</w:t>
            </w:r>
          </w:p>
        </w:tc>
        <w:tc>
          <w:tcPr>
            <w:tcW w:type="dxa" w:w="451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Nome do signatário: </w:t>
            </w:r>
            <w:r>
              <w:rPr>
                <w:highlight w:val="yellow"/>
                <w:highlightCs w:val="yellow"/>
              </w:rPr>
              <w:t xml:space="preserve">[nome]</w:t>
            </w:r>
          </w:p>
        </w:tc>
      </w:tr>
      <w:tr>
        <w:tc>
          <w:tcPr>
            <w:tcW w:type="dxa" w:w="451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Cargo: </w:t>
            </w:r>
            <w:r>
              <w:rPr>
                <w:highlight w:val="yellow"/>
                <w:highlightCs w:val="yellow"/>
              </w:rPr>
              <w:t xml:space="preserve">[cargo]</w:t>
            </w:r>
          </w:p>
        </w:tc>
        <w:tc>
          <w:tcPr>
            <w:tcW w:type="dxa" w:w="451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Cargo: </w:t>
            </w:r>
            <w:r>
              <w:rPr>
                <w:highlight w:val="yellow"/>
                <w:highlightCs w:val="yellow"/>
              </w:rPr>
              <w:t xml:space="preserve">[cargo]</w:t>
            </w:r>
          </w:p>
        </w:tc>
      </w:tr>
      <w:tr>
        <w:tc>
          <w:tcPr>
            <w:tcW w:type="dxa" w:w="451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Data e local: </w:t>
            </w:r>
            <w:r>
              <w:rPr>
                <w:highlight w:val="yellow"/>
                <w:highlightCs w:val="yellow"/>
              </w:rPr>
              <w:t xml:space="preserve">[data, local]</w:t>
            </w:r>
          </w:p>
        </w:tc>
        <w:tc>
          <w:tcPr>
            <w:tcW w:type="dxa" w:w="451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Data e local: </w:t>
            </w:r>
            <w:r>
              <w:rPr>
                <w:highlight w:val="yellow"/>
                <w:highlightCs w:val="yellow"/>
              </w:rPr>
              <w:t xml:space="preserve">[data, local]</w:t>
            </w:r>
          </w:p>
        </w:tc>
      </w:tr>
      <w:tr>
        <w:tc>
          <w:tcPr>
            <w:tcW w:type="dxa" w:w="451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Assinatura: </w:t>
            </w:r>
            <w:r>
              <w:rPr>
                <w:highlight w:val="yellow"/>
                <w:highlightCs w:val="yellow"/>
              </w:rPr>
              <w:t xml:space="preserve">[assinatura eletrónica qualificada ou manuscrita]</w:t>
            </w:r>
          </w:p>
        </w:tc>
        <w:tc>
          <w:tcPr>
            <w:tcW w:type="dxa" w:w="451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Assinatura: </w:t>
            </w:r>
            <w:r>
              <w:rPr>
                <w:highlight w:val="yellow"/>
                <w:highlightCs w:val="yellow"/>
              </w:rPr>
              <w:t xml:space="preserve">[assinatura eletrónica qualificada ou manuscrita]</w:t>
            </w:r>
          </w:p>
        </w:tc>
      </w:tr>
    </w:tbl>
    <w:p/>
    <w:p>
      <w:pPr>
        <w:pStyle w:val="Heading1"/>
      </w:pPr>
      <w:r>
        <w:t xml:space="preserve">Anexo I. Descrição do tratamento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rPr>
          <w:tblHeader/>
        </w:trP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Elemento</w:t>
            </w:r>
          </w:p>
        </w:tc>
        <w:tc>
          <w:tcPr>
            <w:tcW w:type="dxa" w:w="586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Descrição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Serviço e objeto do tratamento</w:t>
            </w:r>
          </w:p>
        </w:tc>
        <w:tc>
          <w:tcPr>
            <w:tcW w:type="dxa" w:w="586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[por exemplo: alojamento e gestão de uma plataforma de inquéritos utilizada em projetos de investigação e na avaliação pedagógica]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Duração do tratamento</w:t>
            </w:r>
          </w:p>
        </w:tc>
        <w:tc>
          <w:tcPr>
            <w:tcW w:type="dxa" w:w="586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[por exemplo: durante a vigência do Contrato Principal, acrescida do prazo de devolução e apagamento previsto na cláusula 12.ª]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Natureza do tratamento (operações)</w:t>
            </w:r>
          </w:p>
        </w:tc>
        <w:tc>
          <w:tcPr>
            <w:tcW w:type="dxa" w:w="586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[por exemplo: recolha, conservação, consulta, análise estatística, cópia de segurança, apagamento]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Finalidade(s)</w:t>
            </w:r>
          </w:p>
        </w:tc>
        <w:tc>
          <w:tcPr>
            <w:tcW w:type="dxa" w:w="586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[por exemplo: recolha de respostas a inquéritos de investigação e de avaliação das unidades curriculares]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Categorias de titulares dos dados</w:t>
            </w:r>
          </w:p>
        </w:tc>
        <w:tc>
          <w:tcPr>
            <w:tcW w:type="dxa" w:w="586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[por exemplo: estudantes; docentes e investigadores; participantes em estudos; trabalhadores não docentes]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Tipo de dados pessoais</w:t>
            </w:r>
          </w:p>
        </w:tc>
        <w:tc>
          <w:tcPr>
            <w:tcW w:type="dxa" w:w="586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[por exemplo: nome, endereço de correio eletrónico institucional, número de estudante, respostas a inquéritos, endereço IP e dados de registo]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Categorias especiais de dados (art. 9.º) ou dados relativos a condenações penais e infrações (art. 10.º)</w:t>
            </w:r>
          </w:p>
        </w:tc>
        <w:tc>
          <w:tcPr>
            <w:tcW w:type="dxa" w:w="586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[não / sim: indicar quais e as garantias adicionais, por exemplo acesso restrito a pessoal nomeado, pseudonimização, registo de acessos]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Local do tratamento</w:t>
            </w:r>
          </w:p>
        </w:tc>
        <w:tc>
          <w:tcPr>
            <w:tcW w:type="dxa" w:w="586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[países e centros de dados; indicar também locais de onde é feito acesso remoto]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Ponto de contacto do Responsável pelo Tratamento</w:t>
            </w:r>
          </w:p>
        </w:tc>
        <w:tc>
          <w:tcPr>
            <w:tcW w:type="dxa" w:w="586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[nome ou função, correio eletrónico]</w:t>
            </w:r>
            <w:r>
              <w:t xml:space="preserve">; EPD: </w:t>
            </w:r>
            <w:r>
              <w:rPr>
                <w:highlight w:val="yellow"/>
                <w:highlightCs w:val="yellow"/>
              </w:rPr>
              <w:t xml:space="preserve">[nome, correio eletrónico]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Ponto de contacto do Subcontratante</w:t>
            </w:r>
          </w:p>
        </w:tc>
        <w:tc>
          <w:tcPr>
            <w:tcW w:type="dxa" w:w="586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[nome ou função, correio eletrónico, contacto telefónico permanente para violações de dados]</w:t>
            </w:r>
            <w:r>
              <w:t xml:space="preserve">; EPD, se existir: </w:t>
            </w:r>
            <w:r>
              <w:rPr>
                <w:highlight w:val="yellow"/>
                <w:highlightCs w:val="yellow"/>
              </w:rPr>
              <w:t xml:space="preserve">[contactos]</w:t>
            </w:r>
          </w:p>
        </w:tc>
      </w:tr>
    </w:tbl>
    <w:p/>
    <w:p>
      <w:pPr>
        <w:spacing w:after="120"/>
      </w:pPr>
      <w:r>
        <w:t xml:space="preserve">Data da última atualização: </w:t>
      </w:r>
      <w:r>
        <w:rPr>
          <w:highlight w:val="yellow"/>
          <w:highlightCs w:val="yellow"/>
        </w:rPr>
        <w:t xml:space="preserve">[data]</w:t>
      </w:r>
    </w:p>
    <w:p>
      <w:pPr>
        <w:pStyle w:val="Heading1"/>
      </w:pPr>
      <w:r>
        <w:t xml:space="preserve">Anexo II. Medidas técnicas e organizativas</w:t>
      </w:r>
    </w:p>
    <w:p>
      <w:pPr>
        <w:spacing w:after="120"/>
      </w:pPr>
      <w:r>
        <w:t xml:space="preserve">Descreva as medidas de forma concreta, ou remeta para o ponto exato de um documento anexo. Expressões genéricas como «medidas adequadas» não permitem avaliar a segurança.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7"/>
        <w:gridCol w:w="3971"/>
        <w:gridCol w:w="2527"/>
      </w:tblGrid>
      <w:tr>
        <w:trPr>
          <w:tblHeader/>
        </w:trPr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Domínio</w:t>
            </w:r>
          </w:p>
        </w:tc>
        <w:tc>
          <w:tcPr>
            <w:tcW w:type="dxa" w:w="397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Medida aplicada pelo Subcontratante</w:t>
            </w:r>
          </w:p>
        </w:tc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Comprovativo ou observações</w:t>
            </w:r>
          </w:p>
        </w:tc>
      </w:tr>
      <w:tr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Política de segurança e certificações</w:t>
            </w:r>
          </w:p>
        </w:tc>
        <w:tc>
          <w:tcPr>
            <w:tcW w:type="dxa" w:w="397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[por exemplo: ISO/IEC 27001, âmbito, validade]</w:t>
            </w:r>
          </w:p>
        </w:tc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[certificado, declaração de aplicabilidade]</w:t>
            </w:r>
          </w:p>
        </w:tc>
      </w:tr>
      <w:tr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Controlo de acessos e autenticação</w:t>
            </w:r>
          </w:p>
        </w:tc>
        <w:tc>
          <w:tcPr>
            <w:tcW w:type="dxa" w:w="397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[por exemplo: autenticação multifator para administradores, princípio do menor privilégio, revisão periódica de acessos]</w:t>
            </w:r>
          </w:p>
        </w:tc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Cifragem</w:t>
            </w:r>
          </w:p>
        </w:tc>
        <w:tc>
          <w:tcPr>
            <w:tcW w:type="dxa" w:w="397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[em trânsito: versão TLS; em repouso: algoritmo, gestão de chaves, quem controla as chaves]</w:t>
            </w:r>
          </w:p>
        </w:tc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Pseudonimização e minimização</w:t>
            </w:r>
          </w:p>
        </w:tc>
        <w:tc>
          <w:tcPr>
            <w:tcW w:type="dxa" w:w="397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Registos (logs) e monitorização</w:t>
            </w:r>
          </w:p>
        </w:tc>
        <w:tc>
          <w:tcPr>
            <w:tcW w:type="dxa" w:w="397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[eventos registados, prazo de conservação dos registos, deteção de incidentes]</w:t>
            </w:r>
          </w:p>
        </w:tc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Cópias de segurança e recuperação</w:t>
            </w:r>
          </w:p>
        </w:tc>
        <w:tc>
          <w:tcPr>
            <w:tcW w:type="dxa" w:w="397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[frequência, localização, testes de reposição, objetivos de tempo de recuperação]</w:t>
            </w:r>
          </w:p>
        </w:tc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Gestão de vulnerabilidades e testes</w:t>
            </w:r>
          </w:p>
        </w:tc>
        <w:tc>
          <w:tcPr>
            <w:tcW w:type="dxa" w:w="397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[atualizações, testes de intrusão, periodicidade]</w:t>
            </w:r>
          </w:p>
        </w:tc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Segurança física</w:t>
            </w:r>
          </w:p>
        </w:tc>
        <w:tc>
          <w:tcPr>
            <w:tcW w:type="dxa" w:w="397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[centros de dados e escritórios]</w:t>
            </w:r>
          </w:p>
        </w:tc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Pessoal</w:t>
            </w:r>
          </w:p>
        </w:tc>
        <w:tc>
          <w:tcPr>
            <w:tcW w:type="dxa" w:w="397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[compromissos de confidencialidade, formação, cessação de acessos na saída]</w:t>
            </w:r>
          </w:p>
        </w:tc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Desenvolvimento seguro e configurações predefinidas</w:t>
            </w:r>
          </w:p>
        </w:tc>
        <w:tc>
          <w:tcPr>
            <w:tcW w:type="dxa" w:w="397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Assistência ao Responsável pelo Tratamento</w:t>
            </w:r>
          </w:p>
        </w:tc>
        <w:tc>
          <w:tcPr>
            <w:tcW w:type="dxa" w:w="397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[ferramentas para exportar, retificar e apagar dados de titulares; apoio à AIPD]</w:t>
            </w:r>
          </w:p>
        </w:tc>
        <w:tc>
          <w:tcPr>
            <w:tcW w:type="dxa" w:w="252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</w:tbl>
    <w:p/>
    <w:p>
      <w:pPr>
        <w:spacing w:after="120"/>
      </w:pPr>
      <w:r>
        <w:t xml:space="preserve">Data da última atualização: </w:t>
      </w:r>
      <w:r>
        <w:rPr>
          <w:highlight w:val="yellow"/>
          <w:highlightCs w:val="yellow"/>
        </w:rPr>
        <w:t xml:space="preserve">[data]</w:t>
      </w:r>
    </w:p>
    <w:p>
      <w:pPr>
        <w:pStyle w:val="Heading1"/>
      </w:pPr>
      <w:r>
        <w:t xml:space="preserve">Anexo III. Subcontratantes ulteriores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6"/>
        <w:gridCol w:w="1805"/>
        <w:gridCol w:w="1805"/>
        <w:gridCol w:w="1444"/>
        <w:gridCol w:w="1986"/>
      </w:tblGrid>
      <w:tr>
        <w:trPr>
          <w:tblHeader/>
        </w:trPr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Nome e sede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Serviço ou tarefa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Dados pessoais envolvidos</w:t>
            </w:r>
          </w:p>
        </w:tc>
        <w:tc>
          <w:tcPr>
            <w:tcW w:type="dxa" w:w="144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Local do tratamento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Fundamento da transferência (se fora do EEE)</w:t>
            </w:r>
          </w:p>
        </w:tc>
      </w:tr>
      <w:tr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[nome, cidade, país]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[por exemplo: alojamento em nuvem]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[todos os Dados Pessoais / apenas dados de conta]</w:t>
            </w:r>
          </w:p>
        </w:tc>
        <w:tc>
          <w:tcPr>
            <w:tcW w:type="dxa" w:w="144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[país]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[não aplicável / decisão de adequação / cláusulas contratuais-tipo, módulo 3]</w:t>
            </w:r>
          </w:p>
        </w:tc>
      </w:tr>
      <w:tr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44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44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</w:tbl>
    <w:p/>
    <w:p>
      <w:pPr>
        <w:spacing w:after="120"/>
      </w:pPr>
      <w:r>
        <w:t xml:space="preserve">Data da última atualização: </w:t>
      </w:r>
      <w:r>
        <w:rPr>
          <w:highlight w:val="yellow"/>
          <w:highlightCs w:val="yellow"/>
        </w:rPr>
        <w:t xml:space="preserve">[data]</w:t>
      </w:r>
    </w:p>
    <w:p>
      <w:pPr>
        <w:pStyle w:val="Heading1"/>
      </w:pPr>
      <w:r>
        <w:t xml:space="preserve">Anexo IV. Transferências para países terceiros</w:t>
      </w:r>
    </w:p>
    <w:p>
      <w:pPr>
        <w:spacing w:after="120"/>
      </w:pPr>
      <w:r>
        <w:t xml:space="preserve">Preencher se os Dados Pessoais forem tratados fora do EEE ou se forem acessíveis a partir de fora do EEE. Se não houver transferências, indique «Nenhuma».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986"/>
        <w:gridCol w:w="1986"/>
        <w:gridCol w:w="1805"/>
        <w:gridCol w:w="1444"/>
      </w:tblGrid>
      <w:tr>
        <w:trPr>
          <w:tblHeader/>
        </w:trPr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Destinatário e país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Finalidade e natureza da transferência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Fundamento (capítulo V do RGPD)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Medidas suplementares</w:t>
            </w:r>
          </w:p>
        </w:tc>
        <w:tc>
          <w:tcPr>
            <w:tcW w:type="dxa" w:w="144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Data da avaliação da transferência</w:t>
            </w:r>
          </w:p>
        </w:tc>
      </w:tr>
      <w:tr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[nome, país]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[por exemplo: suporte técnico com acesso remoto]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[decisão de adequação / Data Privacy Framework, com verificação da inscrição / cláusulas contratuais-tipo da Decisão (UE) 2021/914, módulo]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[por exemplo: cifragem com chaves controladas na UE]</w:t>
            </w:r>
          </w:p>
        </w:tc>
        <w:tc>
          <w:tcPr>
            <w:tcW w:type="dxa" w:w="144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[data e referência]</w:t>
            </w:r>
          </w:p>
        </w:tc>
      </w:tr>
      <w:tr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44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 ]</w:t>
            </w:r>
          </w:p>
        </w:tc>
      </w:tr>
    </w:tbl>
    <w:p/>
    <w:p>
      <w:pPr>
        <w:spacing w:after="120"/>
      </w:pPr>
      <w:r>
        <w:t xml:space="preserve">Data da última atualização: </w:t>
      </w:r>
      <w:r>
        <w:rPr>
          <w:highlight w:val="yellow"/>
          <w:highlightCs w:val="yellow"/>
        </w:rPr>
        <w:t xml:space="preserve">[data]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6"/>
        <w:szCs w:val="16"/>
      </w:rPr>
      <w:t xml:space="preserve">Modelo disponibilizado por validemic.com. Não constitui aconselhamento jurídico: antes de o utilizar, peça ao jurista ou ao EPD da sua instituição que o reveja.   </w:t>
    </w:r>
    <w:r>
      <w:rPr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b/>
      <w:bCs/>
      <w:color w:val="0F1F38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b/>
      <w:bCs/>
      <w:color w:val="0F1F38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b/>
      <w:bCs/>
      <w:color w:val="1D4589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b/>
      <w:bCs/>
      <w:color w:val="33415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subcontratação para o tratamento de dados pessoais</dc:title>
  <dc:creator>Validemic</dc:creator>
  <cp:lastModifiedBy>Un-named</cp:lastModifiedBy>
  <cp:revision>1</cp:revision>
  <dcterms:created xsi:type="dcterms:W3CDTF">2026-10-07T02:31:32.321Z</dcterms:created>
  <dcterms:modified xsi:type="dcterms:W3CDTF">2026-10-07T02:31:32.321Z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