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Personal data breach response kit for universities</w:t>
      </w:r>
    </w:p>
    <w:p>
      <w:pPr>
        <w:spacing w:after="240"/>
      </w:pPr>
      <w:r>
        <w:rPr>
          <w:color w:val="64748B"/>
        </w:rPr>
        <w:t xml:space="preserve">GDPR Articles 33 and 34. Part 1 breach log, Part 2 risk assessment form, Part 3 supervisory authority notification checklist, Part 4 data subject notice template, Part 5 vendor (processor) clause checklist. Version 1.0, October 2026.</w:t>
      </w:r>
    </w:p>
    <w:p>
      <w:pPr>
        <w:pBdr>
          <w:left w:val="single" w:color="F59E0B" w:sz="18" w:space="8"/>
        </w:pBdr>
        <w:shd w:fill="FFFBEB" w:color="auto" w:val="clear"/>
        <w:spacing w:after="160" w:before="120"/>
      </w:pPr>
      <w:r>
        <w:rPr>
          <w:i/>
          <w:iCs/>
        </w:rPr>
        <w:t xml:space="preserve">This kit is a starting point, not legal advice. Filled rows marked EXAMPLE are invented to show the level of detail expected; they do not describe any real institution or incident. Delete them before use, and adapt the kit to your national law and your supervisory authority's own notification form.</w:t>
      </w:r>
    </w:p>
    <w:p>
      <w:pPr>
        <w:pStyle w:val="Heading1"/>
      </w:pPr>
      <w:r>
        <w:t xml:space="preserve">How to use this kit</w:t>
      </w:r>
    </w:p>
    <w:p>
      <w:pPr>
        <w:pStyle w:val="ListParagraph"/>
        <w:numPr>
          <w:ilvl w:val="0"/>
          <w:numId w:val="2"/>
        </w:numPr>
      </w:pPr>
      <w:r>
        <w:rPr>
          <w:b/>
          <w:bCs/>
        </w:rPr>
        <w:t xml:space="preserve">Log every incident that may involve personal data.</w:t>
      </w:r>
      <w:r>
        <w:t xml:space="preserve"> Article 33(5) GDPR requires the controller to document all personal data breaches, including those that are not notified. Open a row in the breach log (Part 1) as soon as an incident is reported, even before you know whether it is a breach.</w:t>
      </w:r>
    </w:p>
    <w:p>
      <w:pPr>
        <w:pStyle w:val="ListParagraph"/>
        <w:numPr>
          <w:ilvl w:val="0"/>
          <w:numId w:val="2"/>
        </w:numPr>
      </w:pPr>
      <w:r>
        <w:rPr>
          <w:b/>
          <w:bCs/>
        </w:rPr>
        <w:t xml:space="preserve">Record the moment of awareness.</w:t>
      </w:r>
      <w:r>
        <w:t xml:space="preserve"> The 72-hour period in Article 33(1) runs from when the controller becomes aware of the breach. The EDPB treats a controller as aware when it has a reasonable degree of certainty that a security incident has compromised personal data. Write down the date and time and the reasoning.</w:t>
      </w:r>
    </w:p>
    <w:p>
      <w:pPr>
        <w:pStyle w:val="ListParagraph"/>
        <w:numPr>
          <w:ilvl w:val="0"/>
          <w:numId w:val="2"/>
        </w:numPr>
      </w:pPr>
      <w:r>
        <w:rPr>
          <w:b/>
          <w:bCs/>
        </w:rPr>
        <w:t xml:space="preserve">Assess the risk with Part 2.</w:t>
      </w:r>
      <w:r>
        <w:t xml:space="preserve"> The outcome is one of three levels: unlikely to result in a risk (document only), risk (notify the supervisory authority), or high risk (notify the authority and tell the people affected). If in doubt, the EDPB advises erring on the side of caution and notifying.</w:t>
      </w:r>
    </w:p>
    <w:p>
      <w:pPr>
        <w:pStyle w:val="ListParagraph"/>
        <w:numPr>
          <w:ilvl w:val="0"/>
          <w:numId w:val="2"/>
        </w:numPr>
      </w:pPr>
      <w:r>
        <w:rPr>
          <w:b/>
          <w:bCs/>
        </w:rPr>
        <w:t xml:space="preserve">Notify with Part 3.</w:t>
      </w:r>
      <w:r>
        <w:t xml:space="preserve"> Use your supervisory authority's own form or portal. Part 3 lists what Article 33(3) requires so you can gather it in advance. Information may be provided in phases (Article 33(4)).</w:t>
      </w:r>
    </w:p>
    <w:p>
      <w:pPr>
        <w:pStyle w:val="ListParagraph"/>
        <w:numPr>
          <w:ilvl w:val="0"/>
          <w:numId w:val="2"/>
        </w:numPr>
      </w:pPr>
      <w:r>
        <w:rPr>
          <w:b/>
          <w:bCs/>
        </w:rPr>
        <w:t xml:space="preserve">Tell data subjects with Part 4</w:t>
      </w:r>
      <w:r>
        <w:t xml:space="preserve"> when the breach is likely to result in a high risk (Article 34), unless one of the exceptions in Article 34(3) applies and you can show it.</w:t>
      </w:r>
    </w:p>
    <w:p>
      <w:pPr>
        <w:pStyle w:val="ListParagraph"/>
        <w:numPr>
          <w:ilvl w:val="0"/>
          <w:numId w:val="2"/>
        </w:numPr>
      </w:pPr>
      <w:r>
        <w:rPr>
          <w:b/>
          <w:bCs/>
        </w:rPr>
        <w:t xml:space="preserve">Check vendor contracts with Part 5</w:t>
      </w:r>
      <w:r>
        <w:t xml:space="preserve"> before an incident happens. Processors must notify you without undue delay (Article 33(2)); the contract should make that workable.</w:t>
      </w:r>
    </w:p>
    <w:p>
      <w:pPr>
        <w:pStyle w:val="ListParagraph"/>
        <w:numPr>
          <w:ilvl w:val="0"/>
          <w:numId w:val="2"/>
        </w:numPr>
      </w:pPr>
      <w:r>
        <w:rPr>
          <w:b/>
          <w:bCs/>
        </w:rPr>
        <w:t xml:space="preserve">Keep it current.</w:t>
      </w:r>
      <w:r>
        <w:t xml:space="preserve"> Review the kit once a year and after every significant incident, together with the DPO, IT security, communications and legal.</w:t>
      </w:r>
    </w:p>
    <w:p>
      <w:pPr>
        <w:pStyle w:val="Heading1"/>
      </w:pPr>
      <w:r>
        <w:t xml:space="preserve">Part 1: Breach log (Article 33(5))</w:t>
      </w:r>
    </w:p>
    <w:p>
      <w:pPr>
        <w:spacing w:after="120"/>
      </w:pPr>
      <w:r>
        <w:t xml:space="preserve">One row per incident. Keep the log even when the conclusion is "not a personal data breach" or "no notification required": the reasoning is part of the record the supervisory authority may ask to see.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3"/>
        <w:gridCol w:w="1805"/>
        <w:gridCol w:w="1805"/>
        <w:gridCol w:w="2347"/>
        <w:gridCol w:w="2166"/>
      </w:tblGrid>
      <w:tr>
        <w:trPr>
          <w:tblHeader/>
        </w:trPr>
        <w:tc>
          <w:tcPr>
            <w:tcW w:type="dxa" w:w="903"/>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Ref.</w:t>
            </w:r>
          </w:p>
        </w:tc>
        <w:tc>
          <w:tcPr>
            <w:tcW w:type="dxa" w:w="1805"/>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Reported (date, time, by whom)</w:t>
            </w:r>
          </w:p>
        </w:tc>
        <w:tc>
          <w:tcPr>
            <w:tcW w:type="dxa" w:w="1805"/>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Aware (date, time, reasoning)</w:t>
            </w:r>
          </w:p>
        </w:tc>
        <w:tc>
          <w:tcPr>
            <w:tcW w:type="dxa" w:w="2347"/>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What happened</w:t>
            </w:r>
          </w:p>
        </w:tc>
        <w:tc>
          <w:tcPr>
            <w:tcW w:type="dxa" w:w="2166"/>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Data and people affected</w:t>
            </w:r>
          </w:p>
        </w:tc>
      </w:tr>
      <w:tr>
        <w:tc>
          <w:tcPr>
            <w:tcW w:type="dxa" w:w="90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EXAMPLE B-01</w:t>
            </w: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[2026-03-04 09:12]</w:t>
            </w:r>
            <w:r>
              <w:t xml:space="preserve">, course administrator</w:t>
            </w: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[2026-03-04 09:40]</w:t>
            </w:r>
            <w:r>
              <w:t xml:space="preserve">: email confirmed sent to wrong list</w:t>
            </w:r>
          </w:p>
        </w:tc>
        <w:tc>
          <w:tcPr>
            <w:tcW w:type="dxa" w:w="2347"/>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Exam results spreadsheet for one module emailed to all students on a different module</w:t>
            </w:r>
          </w:p>
        </w:tc>
        <w:tc>
          <w:tcPr>
            <w:tcW w:type="dxa" w:w="2166"/>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Names, student IDs, marks of </w:t>
            </w:r>
            <w:r>
              <w:rPr>
                <w:highlight w:val="yellow"/>
                <w:highlightCs w:val="yellow"/>
              </w:rPr>
              <w:t xml:space="preserve">[62]</w:t>
            </w:r>
            <w:r>
              <w:t xml:space="preserve"> students; </w:t>
            </w:r>
            <w:r>
              <w:rPr>
                <w:highlight w:val="yellow"/>
                <w:highlightCs w:val="yellow"/>
              </w:rPr>
              <w:t xml:space="preserve">[140]</w:t>
            </w:r>
            <w:r>
              <w:t xml:space="preserve"> recipients</w:t>
            </w:r>
          </w:p>
        </w:tc>
      </w:tr>
      <w:tr>
        <w:tc>
          <w:tcPr>
            <w:tcW w:type="dxa" w:w="90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EXAMPLE B-02</w:t>
            </w: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[2026-05-18 02:30]</w:t>
            </w:r>
            <w:r>
              <w:t xml:space="preserve">, SOC alert</w:t>
            </w: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[2026-05-18 11:00]</w:t>
            </w:r>
            <w:r>
              <w:t xml:space="preserve">: forensic team confirmed encrypted file servers and signs of data staging</w:t>
            </w:r>
          </w:p>
        </w:tc>
        <w:tc>
          <w:tcPr>
            <w:tcW w:type="dxa" w:w="2347"/>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Ransomware on a faculty file server</w:t>
            </w:r>
          </w:p>
        </w:tc>
        <w:tc>
          <w:tcPr>
            <w:tcW w:type="dxa" w:w="2166"/>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Staff and student files; extent under investigation</w:t>
            </w:r>
          </w:p>
        </w:tc>
      </w:tr>
      <w:tr>
        <w:tc>
          <w:tcPr>
            <w:tcW w:type="dxa" w:w="90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[B-03]</w:t>
            </w: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234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216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bl>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812"/>
        <w:gridCol w:w="903"/>
        <w:gridCol w:w="1986"/>
        <w:gridCol w:w="1354"/>
        <w:gridCol w:w="1354"/>
        <w:gridCol w:w="1534"/>
        <w:gridCol w:w="1083"/>
      </w:tblGrid>
      <w:tr>
        <w:trPr>
          <w:tblHeader/>
        </w:trPr>
        <w:tc>
          <w:tcPr>
            <w:tcW w:type="dxa" w:w="812"/>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Ref.</w:t>
            </w:r>
          </w:p>
        </w:tc>
        <w:tc>
          <w:tcPr>
            <w:tcW w:type="dxa" w:w="903"/>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Type (C / I / A)</w:t>
            </w:r>
          </w:p>
        </w:tc>
        <w:tc>
          <w:tcPr>
            <w:tcW w:type="dxa" w:w="1986"/>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Risk level and reasoning</w:t>
            </w:r>
          </w:p>
        </w:tc>
        <w:tc>
          <w:tcPr>
            <w:tcW w:type="dxa" w:w="1354"/>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Notified to authority (date, ref.)</w:t>
            </w:r>
          </w:p>
        </w:tc>
        <w:tc>
          <w:tcPr>
            <w:tcW w:type="dxa" w:w="1354"/>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Data subjects told (date, how)</w:t>
            </w:r>
          </w:p>
        </w:tc>
        <w:tc>
          <w:tcPr>
            <w:tcW w:type="dxa" w:w="1534"/>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Remedial action</w:t>
            </w:r>
          </w:p>
        </w:tc>
        <w:tc>
          <w:tcPr>
            <w:tcW w:type="dxa" w:w="1083"/>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Owner, closed</w:t>
            </w:r>
          </w:p>
        </w:tc>
      </w:tr>
      <w:tr>
        <w:tc>
          <w:tcPr>
            <w:tcW w:type="dxa" w:w="812"/>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EXAMPLE B-01</w:t>
            </w:r>
          </w:p>
        </w:tc>
        <w:tc>
          <w:tcPr>
            <w:tcW w:type="dxa" w:w="90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C</w:t>
            </w:r>
          </w:p>
        </w:tc>
        <w:tc>
          <w:tcPr>
            <w:tcW w:type="dxa" w:w="198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[Risk / High risk / Unlikely]</w:t>
            </w:r>
            <w:r>
              <w:t xml:space="preserve">: </w:t>
            </w:r>
            <w:r>
              <w:rPr>
                <w:highlight w:val="yellow"/>
                <w:highlightCs w:val="yellow"/>
              </w:rPr>
              <w:t xml:space="preserve">[reasons, see Part 2]</w:t>
            </w:r>
          </w:p>
        </w:tc>
        <w:tc>
          <w:tcPr>
            <w:tcW w:type="dxa" w:w="135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[date, case number]</w:t>
            </w:r>
            <w:r>
              <w:t xml:space="preserve"> or "not notified: reasons"</w:t>
            </w:r>
          </w:p>
        </w:tc>
        <w:tc>
          <w:tcPr>
            <w:tcW w:type="dxa" w:w="135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[date, email]</w:t>
            </w:r>
            <w:r>
              <w:t xml:space="preserve"> or "not required: reasons"</w:t>
            </w:r>
          </w:p>
        </w:tc>
        <w:tc>
          <w:tcPr>
            <w:tcW w:type="dxa" w:w="1534"/>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Recall and deletion requests sent; mailing list permissions reviewed</w:t>
            </w:r>
          </w:p>
        </w:tc>
        <w:tc>
          <w:tcPr>
            <w:tcW w:type="dxa" w:w="108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[DPO]</w:t>
            </w:r>
            <w:r>
              <w:t xml:space="preserve">, </w:t>
            </w:r>
            <w:r>
              <w:rPr>
                <w:highlight w:val="yellow"/>
                <w:highlightCs w:val="yellow"/>
              </w:rPr>
              <w:t xml:space="preserve">[date]</w:t>
            </w:r>
          </w:p>
        </w:tc>
      </w:tr>
      <w:tr>
        <w:tc>
          <w:tcPr>
            <w:tcW w:type="dxa" w:w="812"/>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EXAMPLE B-02</w:t>
            </w:r>
          </w:p>
        </w:tc>
        <w:tc>
          <w:tcPr>
            <w:tcW w:type="dxa" w:w="90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A, C</w:t>
            </w:r>
          </w:p>
        </w:tc>
        <w:tc>
          <w:tcPr>
            <w:tcW w:type="dxa" w:w="198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35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35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53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08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812"/>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[B-03]</w:t>
            </w:r>
          </w:p>
        </w:tc>
        <w:tc>
          <w:tcPr>
            <w:tcW w:type="dxa" w:w="90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98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35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35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53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08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bl>
    <w:p/>
    <w:p>
      <w:pPr>
        <w:spacing w:after="120"/>
      </w:pPr>
      <w:r>
        <w:t xml:space="preserve">C = confidentiality (unauthorised disclosure or access), I = integrity (unauthorised alteration), A = availability (loss of access or destruction, including temporary loss). One breach can be all three.</w:t>
      </w:r>
    </w:p>
    <w:p>
      <w:pPr>
        <w:pStyle w:val="Heading1"/>
      </w:pPr>
      <w:r>
        <w:t xml:space="preserve">Part 2: Risk assessment form</w:t>
      </w:r>
    </w:p>
    <w:p>
      <w:pPr>
        <w:spacing w:after="120"/>
      </w:pPr>
      <w:r>
        <w:t xml:space="preserve">Complete one form per breach. The factors follow the criteria the EDPB recommends in Guidelines 9/2022 (section IV). Record facts first, then the conclusion. Revisit the assessment when new facts emerge.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986"/>
        <w:gridCol w:w="4332"/>
        <w:gridCol w:w="2708"/>
      </w:tblGrid>
      <w:tr>
        <w:trPr>
          <w:tblHeader/>
        </w:trPr>
        <w:tc>
          <w:tcPr>
            <w:tcW w:type="dxa" w:w="1986"/>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Factor</w:t>
            </w:r>
          </w:p>
        </w:tc>
        <w:tc>
          <w:tcPr>
            <w:tcW w:type="dxa" w:w="4332"/>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Questions to answer</w:t>
            </w:r>
          </w:p>
        </w:tc>
        <w:tc>
          <w:tcPr>
            <w:tcW w:type="dxa" w:w="2708"/>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Findings</w:t>
            </w:r>
          </w:p>
        </w:tc>
      </w:tr>
      <w:tr>
        <w:tc>
          <w:tcPr>
            <w:tcW w:type="dxa" w:w="1986"/>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Type of breach</w:t>
            </w:r>
          </w:p>
        </w:tc>
        <w:tc>
          <w:tcPr>
            <w:tcW w:type="dxa" w:w="4332"/>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Confidentiality, integrity, availability or a combination? Was data copied or only encrypted? Is a backup available and tested?</w:t>
            </w:r>
          </w:p>
        </w:tc>
        <w:tc>
          <w:tcPr>
            <w:tcW w:type="dxa" w:w="270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1986"/>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Nature, sensitivity and volume of data</w:t>
            </w:r>
          </w:p>
        </w:tc>
        <w:tc>
          <w:tcPr>
            <w:tcW w:type="dxa" w:w="4332"/>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Special category data (health, ethnicity, religion, sexual life, biometrics, trade union membership)? Criminal records? Identity documents, bank details, passwords? Research data on participants? How many records?</w:t>
            </w:r>
          </w:p>
        </w:tc>
        <w:tc>
          <w:tcPr>
            <w:tcW w:type="dxa" w:w="270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1986"/>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Ease of identification</w:t>
            </w:r>
          </w:p>
        </w:tc>
        <w:tc>
          <w:tcPr>
            <w:tcW w:type="dxa" w:w="4332"/>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Can the people be identified directly, or only with additional information? Was the data pseudonymised or encrypted, and is the key safe?</w:t>
            </w:r>
          </w:p>
        </w:tc>
        <w:tc>
          <w:tcPr>
            <w:tcW w:type="dxa" w:w="270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1986"/>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Severity of consequences</w:t>
            </w:r>
          </w:p>
        </w:tc>
        <w:tc>
          <w:tcPr>
            <w:tcW w:type="dxa" w:w="4332"/>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Possible discrimination, identity fraud, financial loss, reputational damage, loss of confidentiality of professional secrecy, distress? Are the consequences permanent?</w:t>
            </w:r>
          </w:p>
        </w:tc>
        <w:tc>
          <w:tcPr>
            <w:tcW w:type="dxa" w:w="270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1986"/>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Special characteristics of the people</w:t>
            </w:r>
          </w:p>
        </w:tc>
        <w:tc>
          <w:tcPr>
            <w:tcW w:type="dxa" w:w="4332"/>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Children, students in a dependent relationship, patients, refugees, research participants who were promised confidentiality, people with protected identities?</w:t>
            </w:r>
          </w:p>
        </w:tc>
        <w:tc>
          <w:tcPr>
            <w:tcW w:type="dxa" w:w="270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1986"/>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Number of people affected</w:t>
            </w:r>
          </w:p>
        </w:tc>
        <w:tc>
          <w:tcPr>
            <w:tcW w:type="dxa" w:w="4332"/>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Approximate number, and whether it may grow as the investigation continues.</w:t>
            </w:r>
          </w:p>
        </w:tc>
        <w:tc>
          <w:tcPr>
            <w:tcW w:type="dxa" w:w="270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1986"/>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Who has the data now</w:t>
            </w:r>
          </w:p>
        </w:tc>
        <w:tc>
          <w:tcPr>
            <w:tcW w:type="dxa" w:w="4332"/>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A trusted recipient who has confirmed deletion, an unknown party, a criminal group, the public internet?</w:t>
            </w:r>
          </w:p>
        </w:tc>
        <w:tc>
          <w:tcPr>
            <w:tcW w:type="dxa" w:w="270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1986"/>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Mitigation already taken</w:t>
            </w:r>
          </w:p>
        </w:tc>
        <w:tc>
          <w:tcPr>
            <w:tcW w:type="dxa" w:w="4332"/>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Recall, deletion confirmations, password resets, access revoked, device wiped remotely, data restored from backup?</w:t>
            </w:r>
          </w:p>
        </w:tc>
        <w:tc>
          <w:tcPr>
            <w:tcW w:type="dxa" w:w="270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bl>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159"/>
        <w:gridCol w:w="1354"/>
        <w:gridCol w:w="4513"/>
      </w:tblGrid>
      <w:tr>
        <w:trPr>
          <w:tblHeader/>
        </w:trPr>
        <w:tc>
          <w:tcPr>
            <w:tcW w:type="dxa" w:w="3159"/>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Conclusion</w:t>
            </w:r>
          </w:p>
        </w:tc>
        <w:tc>
          <w:tcPr>
            <w:tcW w:type="dxa" w:w="1354"/>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Tick one</w:t>
            </w:r>
          </w:p>
        </w:tc>
        <w:tc>
          <w:tcPr>
            <w:tcW w:type="dxa" w:w="4513"/>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Consequence</w:t>
            </w:r>
          </w:p>
        </w:tc>
      </w:tr>
      <w:tr>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Unlikely to result in a risk to rights and freedoms</w:t>
            </w:r>
          </w:p>
        </w:tc>
        <w:tc>
          <w:tcPr>
            <w:tcW w:type="dxa" w:w="135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Document in the breach log with reasons. No notification.</w:t>
            </w:r>
          </w:p>
        </w:tc>
      </w:tr>
      <w:tr>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Likely to result in a risk</w:t>
            </w:r>
          </w:p>
        </w:tc>
        <w:tc>
          <w:tcPr>
            <w:tcW w:type="dxa" w:w="135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Notify the supervisory authority without undue delay and, where feasible, within 72 hours of awareness (Art. 33(1)).</w:t>
            </w:r>
          </w:p>
        </w:tc>
      </w:tr>
      <w:tr>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Likely to result in a high risk</w:t>
            </w:r>
          </w:p>
        </w:tc>
        <w:tc>
          <w:tcPr>
            <w:tcW w:type="dxa" w:w="135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Notify the authority and communicate to the data subjects without undue delay (Art. 34(1)), unless an Art. 34(3) exception applies and is documented.</w:t>
            </w:r>
          </w:p>
        </w:tc>
      </w:tr>
    </w:tbl>
    <w:p/>
    <w:p>
      <w:pPr>
        <w:spacing w:after="120"/>
      </w:pPr>
      <w:r>
        <w:rPr>
          <w:b/>
          <w:bCs/>
        </w:rPr>
        <w:t xml:space="preserve">Assessed by:</w:t>
      </w:r>
      <w:r>
        <w:t xml:space="preserve"> </w:t>
      </w:r>
      <w:r>
        <w:rPr>
          <w:highlight w:val="yellow"/>
          <w:highlightCs w:val="yellow"/>
        </w:rPr>
        <w:t xml:space="preserve">[name, role]</w:t>
      </w:r>
      <w:r>
        <w:t xml:space="preserve">   </w:t>
      </w:r>
      <w:r>
        <w:rPr>
          <w:b/>
          <w:bCs/>
        </w:rPr>
        <w:t xml:space="preserve">DPO advice:</w:t>
      </w:r>
      <w:r>
        <w:t xml:space="preserve"> </w:t>
      </w:r>
      <w:r>
        <w:rPr>
          <w:highlight w:val="yellow"/>
          <w:highlightCs w:val="yellow"/>
        </w:rPr>
        <w:t xml:space="preserve">[summary, date]</w:t>
      </w:r>
      <w:r>
        <w:t xml:space="preserve">   </w:t>
      </w:r>
      <w:r>
        <w:rPr>
          <w:b/>
          <w:bCs/>
        </w:rPr>
        <w:t xml:space="preserve">Decision by:</w:t>
      </w:r>
      <w:r>
        <w:t xml:space="preserve"> </w:t>
      </w:r>
      <w:r>
        <w:rPr>
          <w:highlight w:val="yellow"/>
          <w:highlightCs w:val="yellow"/>
        </w:rPr>
        <w:t xml:space="preserve">[name, role, date]</w:t>
      </w:r>
    </w:p>
    <w:p>
      <w:pPr>
        <w:pStyle w:val="Heading1"/>
      </w:pPr>
      <w:r>
        <w:t xml:space="preserve">Part 3: Supervisory authority notification checklist</w:t>
      </w:r>
    </w:p>
    <w:p>
      <w:pPr>
        <w:pStyle w:val="Heading2"/>
      </w:pPr>
      <w:r>
        <w:t xml:space="preserve">Before you file</w:t>
      </w:r>
    </w:p>
    <w:p>
      <w:pPr>
        <w:pStyle w:val="ListParagraph"/>
        <w:numPr>
          <w:ilvl w:val="0"/>
          <w:numId w:val="3"/>
        </w:numPr>
      </w:pPr>
      <w:r>
        <w:t xml:space="preserve">Moment of awareness recorded and the 72-hour deadline calculated: </w:t>
      </w:r>
      <w:r>
        <w:rPr>
          <w:highlight w:val="yellow"/>
          <w:highlightCs w:val="yellow"/>
        </w:rPr>
        <w:t xml:space="preserve">[date, time]</w:t>
      </w:r>
      <w:r>
        <w:t xml:space="preserve">.</w:t>
      </w:r>
    </w:p>
    <w:p>
      <w:pPr>
        <w:pStyle w:val="ListParagraph"/>
        <w:numPr>
          <w:ilvl w:val="0"/>
          <w:numId w:val="3"/>
        </w:numPr>
      </w:pPr>
      <w:r>
        <w:t xml:space="preserve">Competent supervisory authority identified (Art. 33(1) refers to the authority competent under Art. 55): </w:t>
      </w:r>
      <w:r>
        <w:rPr>
          <w:highlight w:val="yellow"/>
          <w:highlightCs w:val="yellow"/>
        </w:rPr>
        <w:t xml:space="preserve">[authority]</w:t>
      </w:r>
      <w:r>
        <w:t xml:space="preserve">.</w:t>
      </w:r>
    </w:p>
    <w:p>
      <w:pPr>
        <w:pStyle w:val="ListParagraph"/>
        <w:numPr>
          <w:ilvl w:val="0"/>
          <w:numId w:val="3"/>
        </w:numPr>
      </w:pPr>
      <w:r>
        <w:t xml:space="preserve">Authority's online form or portal located and log-in available outside office hours: </w:t>
      </w:r>
      <w:r>
        <w:rPr>
          <w:highlight w:val="yellow"/>
          <w:highlightCs w:val="yellow"/>
        </w:rPr>
        <w:t xml:space="preserve">[link, account holder]</w:t>
      </w:r>
      <w:r>
        <w:t xml:space="preserve">.</w:t>
      </w:r>
    </w:p>
    <w:p>
      <w:pPr>
        <w:pStyle w:val="ListParagraph"/>
        <w:numPr>
          <w:ilvl w:val="0"/>
          <w:numId w:val="3"/>
        </w:numPr>
      </w:pPr>
      <w:r>
        <w:t xml:space="preserve">Decision maker available to approve the notification: </w:t>
      </w:r>
      <w:r>
        <w:rPr>
          <w:highlight w:val="yellow"/>
          <w:highlightCs w:val="yellow"/>
        </w:rPr>
        <w:t xml:space="preserve">[name, deputy]</w:t>
      </w:r>
      <w:r>
        <w:t xml:space="preserve">.</w:t>
      </w:r>
    </w:p>
    <w:p>
      <w:pPr>
        <w:pStyle w:val="ListParagraph"/>
        <w:numPr>
          <w:ilvl w:val="0"/>
          <w:numId w:val="3"/>
        </w:numPr>
      </w:pPr>
      <w:r>
        <w:t xml:space="preserve">If the breach started at a vendor: the vendor's notice, its reference number and its contact person are attached.</w:t>
      </w:r>
    </w:p>
    <w:p>
      <w:pPr>
        <w:pStyle w:val="Heading2"/>
      </w:pPr>
      <w:r>
        <w:t xml:space="preserve">Minimum content (Art. 33(3))</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083"/>
        <w:gridCol w:w="4332"/>
        <w:gridCol w:w="3610"/>
      </w:tblGrid>
      <w:tr>
        <w:trPr>
          <w:tblHeader/>
        </w:trPr>
        <w:tc>
          <w:tcPr>
            <w:tcW w:type="dxa" w:w="1083"/>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Art. 33(3)</w:t>
            </w:r>
          </w:p>
        </w:tc>
        <w:tc>
          <w:tcPr>
            <w:tcW w:type="dxa" w:w="4332"/>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Required content</w:t>
            </w:r>
          </w:p>
        </w:tc>
        <w:tc>
          <w:tcPr>
            <w:tcW w:type="dxa" w:w="3610"/>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Our draft</w:t>
            </w:r>
          </w:p>
        </w:tc>
      </w:tr>
      <w:tr>
        <w:tc>
          <w:tcPr>
            <w:tcW w:type="dxa" w:w="108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(a)</w:t>
            </w:r>
          </w:p>
        </w:tc>
        <w:tc>
          <w:tcPr>
            <w:tcW w:type="dxa" w:w="4332"/>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Nature of the breach, including where possible the categories and approximate number of data subjects and the categories and approximate number of personal data records concerned.</w:t>
            </w:r>
          </w:p>
        </w:tc>
        <w:tc>
          <w:tcPr>
            <w:tcW w:type="dxa" w:w="3610"/>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108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(b)</w:t>
            </w:r>
          </w:p>
        </w:tc>
        <w:tc>
          <w:tcPr>
            <w:tcW w:type="dxa" w:w="4332"/>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Name and contact details of the data protection officer or other contact point.</w:t>
            </w:r>
          </w:p>
        </w:tc>
        <w:tc>
          <w:tcPr>
            <w:tcW w:type="dxa" w:w="3610"/>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108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(c)</w:t>
            </w:r>
          </w:p>
        </w:tc>
        <w:tc>
          <w:tcPr>
            <w:tcW w:type="dxa" w:w="4332"/>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Likely consequences of the breach.</w:t>
            </w:r>
          </w:p>
        </w:tc>
        <w:tc>
          <w:tcPr>
            <w:tcW w:type="dxa" w:w="3610"/>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108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(d)</w:t>
            </w:r>
          </w:p>
        </w:tc>
        <w:tc>
          <w:tcPr>
            <w:tcW w:type="dxa" w:w="4332"/>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Measures taken or proposed to address the breach, including measures to mitigate possible adverse effects.</w:t>
            </w:r>
          </w:p>
        </w:tc>
        <w:tc>
          <w:tcPr>
            <w:tcW w:type="dxa" w:w="3610"/>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108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Art. 33(1)</w:t>
            </w:r>
          </w:p>
        </w:tc>
        <w:tc>
          <w:tcPr>
            <w:tcW w:type="dxa" w:w="4332"/>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If filed after 72 hours: the reasons for the delay.</w:t>
            </w:r>
          </w:p>
        </w:tc>
        <w:tc>
          <w:tcPr>
            <w:tcW w:type="dxa" w:w="3610"/>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108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Art. 33(4)</w:t>
            </w:r>
          </w:p>
        </w:tc>
        <w:tc>
          <w:tcPr>
            <w:tcW w:type="dxa" w:w="4332"/>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If information is incomplete: say so, and say when and how further information will follow.</w:t>
            </w:r>
          </w:p>
        </w:tc>
        <w:tc>
          <w:tcPr>
            <w:tcW w:type="dxa" w:w="3610"/>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bl>
    <w:p/>
    <w:p>
      <w:pPr>
        <w:pStyle w:val="Heading2"/>
      </w:pPr>
      <w:r>
        <w:t xml:space="preserve">After filing</w:t>
      </w:r>
    </w:p>
    <w:p>
      <w:pPr>
        <w:pStyle w:val="ListParagraph"/>
        <w:numPr>
          <w:ilvl w:val="0"/>
          <w:numId w:val="3"/>
        </w:numPr>
      </w:pPr>
      <w:r>
        <w:t xml:space="preserve">Authority's case reference recorded in the breach log.</w:t>
      </w:r>
    </w:p>
    <w:p>
      <w:pPr>
        <w:pStyle w:val="ListParagraph"/>
        <w:numPr>
          <w:ilvl w:val="0"/>
          <w:numId w:val="3"/>
        </w:numPr>
      </w:pPr>
      <w:r>
        <w:t xml:space="preserve">Follow-up information sent in phases as facts emerge, without undue further delay.</w:t>
      </w:r>
    </w:p>
    <w:p>
      <w:pPr>
        <w:pStyle w:val="ListParagraph"/>
        <w:numPr>
          <w:ilvl w:val="0"/>
          <w:numId w:val="3"/>
        </w:numPr>
      </w:pPr>
      <w:r>
        <w:t xml:space="preserve">If the investigation shows no breach occurred, the authority is updated and asked to amend the record.</w:t>
      </w:r>
    </w:p>
    <w:p>
      <w:pPr>
        <w:pStyle w:val="ListParagraph"/>
        <w:numPr>
          <w:ilvl w:val="0"/>
          <w:numId w:val="3"/>
        </w:numPr>
      </w:pPr>
      <w:r>
        <w:t xml:space="preserve">Copy of the notification and all correspondence stored with the breach log.</w:t>
      </w:r>
    </w:p>
    <w:p>
      <w:pPr>
        <w:pStyle w:val="Heading1"/>
      </w:pPr>
      <w:r>
        <w:t xml:space="preserve">Part 4: Data subject notice template (Art. 34)</w:t>
      </w:r>
    </w:p>
    <w:p>
      <w:pPr>
        <w:pBdr>
          <w:left w:val="single" w:color="F59E0B" w:sz="18" w:space="8"/>
        </w:pBdr>
        <w:shd w:fill="FFFBEB" w:color="auto" w:val="clear"/>
        <w:spacing w:after="160" w:before="120"/>
      </w:pPr>
      <w:r>
        <w:rPr>
          <w:i/>
          <w:iCs/>
        </w:rPr>
        <w:t xml:space="preserve">Send this as a dedicated message, not inside a newsletter or routine update. Use the language you normally use with the recipients, plain words, and a channel the attacker does not control. If contacting people individually would involve disproportionate effort, Art. 34(3)(c) requires an equally effective public communication instead.</w:t>
      </w:r>
    </w:p>
    <w:p>
      <w:pPr>
        <w:spacing w:after="120"/>
      </w:pPr>
      <w:r>
        <w:rPr>
          <w:b/>
          <w:bCs/>
        </w:rPr>
        <w:t xml:space="preserve">Subject:</w:t>
      </w:r>
      <w:r>
        <w:t xml:space="preserve"> Important: a security incident involving your personal data at </w:t>
      </w:r>
      <w:r>
        <w:rPr>
          <w:highlight w:val="yellow"/>
          <w:highlightCs w:val="yellow"/>
        </w:rPr>
        <w:t xml:space="preserve">[University name]</w:t>
      </w:r>
    </w:p>
    <w:p>
      <w:pPr>
        <w:spacing w:after="120"/>
      </w:pPr>
      <w:r>
        <w:t xml:space="preserve">Dear </w:t>
      </w:r>
      <w:r>
        <w:rPr>
          <w:highlight w:val="yellow"/>
          <w:highlightCs w:val="yellow"/>
        </w:rPr>
        <w:t xml:space="preserve">[name]</w:t>
      </w:r>
      <w:r>
        <w:t xml:space="preserve">,</w:t>
      </w:r>
    </w:p>
    <w:p>
      <w:pPr>
        <w:spacing w:after="120"/>
      </w:pPr>
      <w:r>
        <w:t xml:space="preserve">We are writing to tell you about a security incident at </w:t>
      </w:r>
      <w:r>
        <w:rPr>
          <w:highlight w:val="yellow"/>
          <w:highlightCs w:val="yellow"/>
        </w:rPr>
        <w:t xml:space="preserve">[University name]</w:t>
      </w:r>
      <w:r>
        <w:t xml:space="preserve"> that involves your personal data. We are sorry this has happened.</w:t>
      </w:r>
    </w:p>
    <w:p>
      <w:pPr>
        <w:spacing w:after="120"/>
      </w:pPr>
      <w:r>
        <w:rPr>
          <w:b/>
          <w:bCs/>
        </w:rPr>
        <w:t xml:space="preserve">What happened.</w:t>
      </w:r>
      <w:r>
        <w:t xml:space="preserve"> On </w:t>
      </w:r>
      <w:r>
        <w:rPr>
          <w:highlight w:val="yellow"/>
          <w:highlightCs w:val="yellow"/>
        </w:rPr>
        <w:t xml:space="preserve">[date]</w:t>
      </w:r>
      <w:r>
        <w:t xml:space="preserve">, </w:t>
      </w:r>
      <w:r>
        <w:rPr>
          <w:highlight w:val="yellow"/>
          <w:highlightCs w:val="yellow"/>
        </w:rPr>
        <w:t xml:space="preserve">[plain description, for example: a spreadsheet containing course results was sent by mistake to students on another course]</w:t>
      </w:r>
      <w:r>
        <w:t xml:space="preserve">. We found out on </w:t>
      </w:r>
      <w:r>
        <w:rPr>
          <w:highlight w:val="yellow"/>
          <w:highlightCs w:val="yellow"/>
        </w:rPr>
        <w:t xml:space="preserve">[date]</w:t>
      </w:r>
      <w:r>
        <w:t xml:space="preserve">.</w:t>
      </w:r>
    </w:p>
    <w:p>
      <w:pPr>
        <w:spacing w:after="120"/>
      </w:pPr>
      <w:r>
        <w:rPr>
          <w:b/>
          <w:bCs/>
        </w:rPr>
        <w:t xml:space="preserve">What information was involved.</w:t>
      </w:r>
      <w:r>
        <w:t xml:space="preserve"> </w:t>
      </w:r>
      <w:r>
        <w:rPr>
          <w:highlight w:val="yellow"/>
          <w:highlightCs w:val="yellow"/>
        </w:rPr>
        <w:t xml:space="preserve">[List the categories of your data concerned, for example: your name, student number and the mark for module X. Your password and bank details were not involved.]</w:t>
      </w:r>
    </w:p>
    <w:p>
      <w:pPr>
        <w:spacing w:after="120"/>
      </w:pPr>
      <w:r>
        <w:rPr>
          <w:b/>
          <w:bCs/>
        </w:rPr>
        <w:t xml:space="preserve">What this could mean for you.</w:t>
      </w:r>
      <w:r>
        <w:t xml:space="preserve"> </w:t>
      </w:r>
      <w:r>
        <w:rPr>
          <w:highlight w:val="yellow"/>
          <w:highlightCs w:val="yellow"/>
        </w:rPr>
        <w:t xml:space="preserve">[Describe the likely consequences in concrete terms, for example: other people may have seen your mark; we have no indication that the information has been used to contact you.]</w:t>
      </w:r>
    </w:p>
    <w:p>
      <w:pPr>
        <w:spacing w:after="120"/>
      </w:pPr>
      <w:r>
        <w:rPr>
          <w:b/>
          <w:bCs/>
        </w:rPr>
        <w:t xml:space="preserve">What we have done.</w:t>
      </w:r>
      <w:r>
        <w:t xml:space="preserve"> </w:t>
      </w:r>
      <w:r>
        <w:rPr>
          <w:highlight w:val="yellow"/>
          <w:highlightCs w:val="yellow"/>
        </w:rPr>
        <w:t xml:space="preserve">[Measures taken, for example: we asked all recipients to delete the message and confirm deletion, we have changed how results are sent, and we have reported the incident to [supervisory authority]</w:t>
      </w:r>
      <w:r>
        <w:t xml:space="preserve">.]</w:t>
      </w:r>
    </w:p>
    <w:p>
      <w:pPr>
        <w:spacing w:after="120"/>
      </w:pPr>
      <w:r>
        <w:rPr>
          <w:b/>
          <w:bCs/>
        </w:rPr>
        <w:t xml:space="preserve">What you can do.</w:t>
      </w:r>
      <w:r>
        <w:t xml:space="preserve"> </w:t>
      </w:r>
      <w:r>
        <w:rPr>
          <w:highlight w:val="yellow"/>
          <w:highlightCs w:val="yellow"/>
        </w:rPr>
        <w:t xml:space="preserve">[Specific advice, for example: be careful with messages that claim to come from the university and ask for your log-in details; change your password at [link]</w:t>
      </w:r>
      <w:r>
        <w:t xml:space="preserve">; contact us if you receive anything suspicious.]</w:t>
      </w:r>
    </w:p>
    <w:p>
      <w:pPr>
        <w:spacing w:after="120"/>
      </w:pPr>
      <w:r>
        <w:rPr>
          <w:b/>
          <w:bCs/>
        </w:rPr>
        <w:t xml:space="preserve">Questions.</w:t>
      </w:r>
      <w:r>
        <w:t xml:space="preserve"> Please contact </w:t>
      </w:r>
      <w:r>
        <w:rPr>
          <w:highlight w:val="yellow"/>
          <w:highlightCs w:val="yellow"/>
        </w:rPr>
        <w:t xml:space="preserve">[the data protection officer / contact point]</w:t>
      </w:r>
      <w:r>
        <w:t xml:space="preserve"> at </w:t>
      </w:r>
      <w:r>
        <w:rPr>
          <w:highlight w:val="yellow"/>
          <w:highlightCs w:val="yellow"/>
        </w:rPr>
        <w:t xml:space="preserve">[email, phone]</w:t>
      </w:r>
      <w:r>
        <w:t xml:space="preserve">. You also have the right to lodge a complaint with </w:t>
      </w:r>
      <w:r>
        <w:rPr>
          <w:highlight w:val="yellow"/>
          <w:highlightCs w:val="yellow"/>
        </w:rPr>
        <w:t xml:space="preserve">[supervisory authority, link]</w:t>
      </w:r>
      <w:r>
        <w:t xml:space="preserve">.</w:t>
      </w:r>
    </w:p>
    <w:p>
      <w:pPr>
        <w:spacing w:after="120"/>
      </w:pPr>
      <w:r>
        <w:t xml:space="preserve">Yours sincerely,</w:t>
      </w:r>
    </w:p>
    <w:p>
      <w:pPr>
        <w:spacing w:after="120"/>
      </w:pPr>
      <w:r>
        <w:rPr>
          <w:highlight w:val="yellow"/>
          <w:highlightCs w:val="yellow"/>
        </w:rPr>
        <w:t xml:space="preserve">[Name, role, University name]</w:t>
      </w:r>
    </w:p>
    <w:p>
      <w:pPr>
        <w:pStyle w:val="Heading1"/>
      </w:pPr>
      <w:r>
        <w:t xml:space="preserve">Part 5: Vendor (processor) clause checklist</w:t>
      </w:r>
    </w:p>
    <w:p>
      <w:pPr>
        <w:spacing w:after="120"/>
      </w:pPr>
      <w:r>
        <w:t xml:space="preserve">Use this when reviewing a data processing agreement, or as a schedule to it. Article 33(2) requires the processor to notify the controller without undue delay after becoming aware of a breach; Article 28(3)(f) requires it to assist the controller with Articles 32 to 36. The GDPR sets no fixed hours for the processor, so the contract should.</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986"/>
        <w:gridCol w:w="3610"/>
        <w:gridCol w:w="2527"/>
        <w:gridCol w:w="903"/>
      </w:tblGrid>
      <w:tr>
        <w:trPr>
          <w:tblHeader/>
        </w:trPr>
        <w:tc>
          <w:tcPr>
            <w:tcW w:type="dxa" w:w="1986"/>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Clause</w:t>
            </w:r>
          </w:p>
        </w:tc>
        <w:tc>
          <w:tcPr>
            <w:tcW w:type="dxa" w:w="3610"/>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What good looks like</w:t>
            </w:r>
          </w:p>
        </w:tc>
        <w:tc>
          <w:tcPr>
            <w:tcW w:type="dxa" w:w="2527"/>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Vendor's DPA says</w:t>
            </w:r>
          </w:p>
        </w:tc>
        <w:tc>
          <w:tcPr>
            <w:tcW w:type="dxa" w:w="903"/>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OK?</w:t>
            </w:r>
          </w:p>
        </w:tc>
      </w:tr>
      <w:tr>
        <w:tc>
          <w:tcPr>
            <w:tcW w:type="dxa" w:w="1986"/>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Notification time</w:t>
            </w:r>
          </w:p>
        </w:tc>
        <w:tc>
          <w:tcPr>
            <w:tcW w:type="dxa" w:w="3610"/>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A specific maximum, short enough to leave the university time to meet its own 72 hours, plus "without undue delay". </w:t>
            </w:r>
            <w:r>
              <w:rPr>
                <w:highlight w:val="yellow"/>
                <w:highlightCs w:val="yellow"/>
              </w:rPr>
              <w:t xml:space="preserve">[Agreed hours: ]</w:t>
            </w:r>
          </w:p>
        </w:tc>
        <w:tc>
          <w:tcPr>
            <w:tcW w:type="dxa" w:w="252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90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1986"/>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Trigger</w:t>
            </w:r>
          </w:p>
        </w:tc>
        <w:tc>
          <w:tcPr>
            <w:tcW w:type="dxa" w:w="3610"/>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Notification on becoming aware of a breach of the university's data, without waiting for the vendor's own risk assessment (the controller assesses risk).</w:t>
            </w:r>
          </w:p>
        </w:tc>
        <w:tc>
          <w:tcPr>
            <w:tcW w:type="dxa" w:w="252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90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1986"/>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Content</w:t>
            </w:r>
          </w:p>
        </w:tc>
        <w:tc>
          <w:tcPr>
            <w:tcW w:type="dxa" w:w="3610"/>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At least the Art. 33(3) points as far as known, the vendor's incident reference and a named contact; further details in phases.</w:t>
            </w:r>
          </w:p>
        </w:tc>
        <w:tc>
          <w:tcPr>
            <w:tcW w:type="dxa" w:w="252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90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1986"/>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Channel</w:t>
            </w:r>
          </w:p>
        </w:tc>
        <w:tc>
          <w:tcPr>
            <w:tcW w:type="dxa" w:w="3610"/>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A named university address or role mailbox that is monitored, plus a phone number for urgent cases.</w:t>
            </w:r>
          </w:p>
        </w:tc>
        <w:tc>
          <w:tcPr>
            <w:tcW w:type="dxa" w:w="252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90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1986"/>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Subprocessors</w:t>
            </w:r>
          </w:p>
        </w:tc>
        <w:tc>
          <w:tcPr>
            <w:tcW w:type="dxa" w:w="3610"/>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The same duty flows down to subprocessors (Art. 28(4)); the vendor notifies the university of breaches at its subprocessors.</w:t>
            </w:r>
          </w:p>
        </w:tc>
        <w:tc>
          <w:tcPr>
            <w:tcW w:type="dxa" w:w="252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90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1986"/>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Cooperation</w:t>
            </w:r>
          </w:p>
        </w:tc>
        <w:tc>
          <w:tcPr>
            <w:tcW w:type="dxa" w:w="3610"/>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Logs, forensic findings and information needed for notifications are shared; no public statement naming the university without consultation.</w:t>
            </w:r>
          </w:p>
        </w:tc>
        <w:tc>
          <w:tcPr>
            <w:tcW w:type="dxa" w:w="252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90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1986"/>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Notification on the university's behalf</w:t>
            </w:r>
          </w:p>
        </w:tc>
        <w:tc>
          <w:tcPr>
            <w:tcW w:type="dxa" w:w="3610"/>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Only if expressly authorised in writing; the legal responsibility stays with the university.</w:t>
            </w:r>
          </w:p>
        </w:tc>
        <w:tc>
          <w:tcPr>
            <w:tcW w:type="dxa" w:w="252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90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1986"/>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Costs and remedies</w:t>
            </w:r>
          </w:p>
        </w:tc>
        <w:tc>
          <w:tcPr>
            <w:tcW w:type="dxa" w:w="3610"/>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Who pays for notification and mitigation when the cause lies with the vendor.</w:t>
            </w:r>
          </w:p>
        </w:tc>
        <w:tc>
          <w:tcPr>
            <w:tcW w:type="dxa" w:w="252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90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1986"/>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Records</w:t>
            </w:r>
          </w:p>
        </w:tc>
        <w:tc>
          <w:tcPr>
            <w:tcW w:type="dxa" w:w="3610"/>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The vendor keeps its own record of incidents affecting the university's data and provides it on request.</w:t>
            </w:r>
          </w:p>
        </w:tc>
        <w:tc>
          <w:tcPr>
            <w:tcW w:type="dxa" w:w="252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90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bl>
    <w:p/>
    <w:p>
      <w:pPr>
        <w:pStyle w:val="Heading1"/>
      </w:pPr>
      <w:r>
        <w:t xml:space="preserve">Contacts sheet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708"/>
        <w:gridCol w:w="2257"/>
        <w:gridCol w:w="1805"/>
        <w:gridCol w:w="2257"/>
      </w:tblGrid>
      <w:tr>
        <w:trPr>
          <w:tblHeader/>
        </w:trPr>
        <w:tc>
          <w:tcPr>
            <w:tcW w:type="dxa" w:w="2708"/>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Role</w:t>
            </w:r>
          </w:p>
        </w:tc>
        <w:tc>
          <w:tcPr>
            <w:tcW w:type="dxa" w:w="2257"/>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Name</w:t>
            </w:r>
          </w:p>
        </w:tc>
        <w:tc>
          <w:tcPr>
            <w:tcW w:type="dxa" w:w="1805"/>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Phone (24/7 where possible)</w:t>
            </w:r>
          </w:p>
        </w:tc>
        <w:tc>
          <w:tcPr>
            <w:tcW w:type="dxa" w:w="2257"/>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Email</w:t>
            </w:r>
          </w:p>
        </w:tc>
      </w:tr>
      <w:tr>
        <w:tc>
          <w:tcPr>
            <w:tcW w:type="dxa" w:w="270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Data protection officer</w:t>
            </w:r>
          </w:p>
        </w:tc>
        <w:tc>
          <w:tcPr>
            <w:tcW w:type="dxa" w:w="225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225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270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CISO / IT security incident lead</w:t>
            </w:r>
          </w:p>
        </w:tc>
        <w:tc>
          <w:tcPr>
            <w:tcW w:type="dxa" w:w="225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225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270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Decision maker for notifications (and deputy)</w:t>
            </w:r>
          </w:p>
        </w:tc>
        <w:tc>
          <w:tcPr>
            <w:tcW w:type="dxa" w:w="225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225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270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Communications</w:t>
            </w:r>
          </w:p>
        </w:tc>
        <w:tc>
          <w:tcPr>
            <w:tcW w:type="dxa" w:w="225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225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270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Legal</w:t>
            </w:r>
          </w:p>
        </w:tc>
        <w:tc>
          <w:tcPr>
            <w:tcW w:type="dxa" w:w="225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225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270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Research data / ethics contact</w:t>
            </w:r>
          </w:p>
        </w:tc>
        <w:tc>
          <w:tcPr>
            <w:tcW w:type="dxa" w:w="225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225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270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Supervisory authority breach form</w:t>
            </w:r>
          </w:p>
        </w:tc>
        <w:tc>
          <w:tcPr>
            <w:tcW w:type="dxa" w:w="225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[authority]</w:t>
            </w: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225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[link]</w:t>
            </w:r>
          </w:p>
        </w:tc>
      </w:tr>
      <w:tr>
        <w:tc>
          <w:tcPr>
            <w:tcW w:type="dxa" w:w="270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National CSIRT (if NIS2 applies)</w:t>
            </w:r>
          </w:p>
        </w:tc>
        <w:tc>
          <w:tcPr>
            <w:tcW w:type="dxa" w:w="225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225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bl>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4748B"/>
        <w:sz w:val="16"/>
        <w:szCs w:val="16"/>
      </w:rPr>
      <w:t xml:space="preserve">Template from validemic.com. Not legal advice: have it reviewed for your institution before use.   </w:t>
    </w:r>
    <w:r>
      <w:rPr>
        <w:color w:val="64748B"/>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120"/>
    </w:pPr>
    <w:rPr>
      <w:b/>
      <w:bCs/>
      <w:color w:val="0F1F38"/>
      <w:sz w:val="40"/>
      <w:szCs w:val="40"/>
    </w:rPr>
  </w:style>
  <w:style w:type="paragraph" w:styleId="Heading1">
    <w:name w:val="Heading 1"/>
    <w:basedOn w:val="Normal"/>
    <w:next w:val="Normal"/>
    <w:qFormat/>
    <w:pPr>
      <w:spacing w:after="120" w:before="320"/>
      <w:outlineLvl w:val="0"/>
    </w:pPr>
    <w:rPr>
      <w:b/>
      <w:bCs/>
      <w:color w:val="0F1F38"/>
      <w:sz w:val="30"/>
      <w:szCs w:val="30"/>
    </w:rPr>
  </w:style>
  <w:style w:type="paragraph" w:styleId="Heading2">
    <w:name w:val="Heading 2"/>
    <w:basedOn w:val="Normal"/>
    <w:next w:val="Normal"/>
    <w:qFormat/>
    <w:pPr>
      <w:spacing w:after="100" w:before="240"/>
      <w:outlineLvl w:val="1"/>
    </w:pPr>
    <w:rPr>
      <w:b/>
      <w:bCs/>
      <w:color w:val="1D4589"/>
      <w:sz w:val="25"/>
      <w:szCs w:val="25"/>
    </w:rPr>
  </w:style>
  <w:style w:type="paragraph" w:styleId="Heading3">
    <w:name w:val="Heading 3"/>
    <w:basedOn w:val="Normal"/>
    <w:next w:val="Normal"/>
    <w:qFormat/>
    <w:pPr>
      <w:spacing w:after="80" w:before="200"/>
      <w:outlineLvl w:val="2"/>
    </w:pPr>
    <w:rPr>
      <w:b/>
      <w:bCs/>
      <w:color w:val="334155"/>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data breach response kit for universities</dc:title>
  <dc:creator>Validemic</dc:creator>
  <cp:lastModifiedBy>Un-named</cp:lastModifiedBy>
  <cp:revision>1</cp:revision>
  <dcterms:created xsi:type="dcterms:W3CDTF">2026-10-07T02:31:32.380Z</dcterms:created>
  <dcterms:modified xsi:type="dcterms:W3CDTF">2026-10-07T02:31:32.380Z</dcterms:modified>
</cp:coreProperties>
</file>

<file path=docProps/custom.xml><?xml version="1.0" encoding="utf-8"?>
<Properties xmlns="http://schemas.openxmlformats.org/officeDocument/2006/custom-properties" xmlns:vt="http://schemas.openxmlformats.org/officeDocument/2006/docPropsVTypes"/>
</file>