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 sharing agreement for research data</w:t>
      </w:r>
    </w:p>
    <w:p>
      <w:pPr>
        <w:spacing w:after="240"/>
      </w:pPr>
      <w:r>
        <w:rPr>
          <w:color w:val="64748B"/>
        </w:rPr>
        <w:t xml:space="preserve">Disclosure of personal data from one controller to another for scientific research (controller to controller). Version 1.0, October 2026.</w:t>
      </w:r>
    </w:p>
    <w:p>
      <w:pPr>
        <w:pBdr>
          <w:left w:val="single" w:color="F59E0B" w:sz="18" w:space="8"/>
        </w:pBdr>
        <w:shd w:fill="FFFBEB" w:color="auto" w:val="clear"/>
        <w:spacing w:after="160" w:before="120"/>
      </w:pPr>
      <w:r>
        <w:rPr>
          <w:i/>
          <w:iCs/>
        </w:rPr>
        <w:t xml:space="preserve">This is a template. Text in </w:t>
      </w:r>
      <w:r>
        <w:rPr>
          <w:i/>
          <w:iCs/>
          <w:highlight w:val="yellow"/>
          <w:highlightCs w:val="yellow"/>
        </w:rPr>
        <w:t xml:space="preserve">[square brackets]</w:t>
      </w:r>
      <w:r>
        <w:rPr>
          <w:i/>
          <w:iCs/>
        </w:rPr>
        <w:t xml:space="preserve"> must be completed or deleted. Rows marked EXAMPLE are illustrations, not statements about any real project. The template is not legal advice: have it reviewed by your legal office or data protection officer before use.</w:t>
      </w:r>
    </w:p>
    <w:p>
      <w:pPr>
        <w:pStyle w:val="Heading1"/>
      </w:pPr>
      <w:r>
        <w:t xml:space="preserve">Instructions</w:t>
      </w:r>
    </w:p>
    <w:p>
      <w:pPr>
        <w:pStyle w:val="ListParagraph"/>
        <w:numPr>
          <w:ilvl w:val="0"/>
          <w:numId w:val="2"/>
        </w:numPr>
      </w:pPr>
      <w:r>
        <w:rPr>
          <w:b/>
          <w:bCs/>
        </w:rPr>
        <w:t xml:space="preserve">Check the roles.</w:t>
      </w:r>
      <w:r>
        <w:t xml:space="preserve"> Use this agreement when the Recipient will use the data for its own research and decides its own purposes and means, so that it is a separate controller. If the Recipient only works on the Provider's instructions, use a data processing agreement under Article 28 GDPR. If the parties decide the purposes and essential means together, use a joint controller agreement under Article 26 GDPR.</w:t>
      </w:r>
    </w:p>
    <w:p>
      <w:pPr>
        <w:pStyle w:val="ListParagraph"/>
        <w:numPr>
          <w:ilvl w:val="0"/>
          <w:numId w:val="2"/>
        </w:numPr>
      </w:pPr>
      <w:r>
        <w:rPr>
          <w:b/>
          <w:bCs/>
        </w:rPr>
        <w:t xml:space="preserve">Minimise before you share.</w:t>
      </w:r>
      <w:r>
        <w:t xml:space="preserve"> Article 89(1) GDPR requires research purposes to be fulfilled with data that does not permit identification where possible. Share anonymised or aggregated data if it serves the purpose; otherwise pseudonymised data with only the variables needed. Record the reasoning in Annex 1.</w:t>
      </w:r>
    </w:p>
    <w:p>
      <w:pPr>
        <w:pStyle w:val="ListParagraph"/>
        <w:numPr>
          <w:ilvl w:val="0"/>
          <w:numId w:val="2"/>
        </w:numPr>
      </w:pPr>
      <w:r>
        <w:rPr>
          <w:b/>
          <w:bCs/>
        </w:rPr>
        <w:t xml:space="preserve">Check the original basis.</w:t>
      </w:r>
      <w:r>
        <w:t xml:space="preserve"> Confirm that the information given to participants, any consent, and the ethics approval allow the disclosure, and whether participants must be informed about the new recipient.</w:t>
      </w:r>
    </w:p>
    <w:p>
      <w:pPr>
        <w:pStyle w:val="ListParagraph"/>
        <w:numPr>
          <w:ilvl w:val="0"/>
          <w:numId w:val="2"/>
        </w:numPr>
      </w:pPr>
      <w:r>
        <w:rPr>
          <w:b/>
          <w:bCs/>
        </w:rPr>
        <w:t xml:space="preserve">Recipient outside the EEA.</w:t>
      </w:r>
      <w:r>
        <w:t xml:space="preserve"> Complete Annex 3. Check for an adequacy decision first; otherwise attach the standard contractual clauses (Commission Implementing Decision (EU) 2021/914, Module One) and a transfer impact assessment.</w:t>
      </w:r>
    </w:p>
    <w:p>
      <w:pPr>
        <w:pStyle w:val="ListParagraph"/>
        <w:numPr>
          <w:ilvl w:val="0"/>
          <w:numId w:val="2"/>
        </w:numPr>
      </w:pPr>
      <w:r>
        <w:rPr>
          <w:b/>
          <w:bCs/>
        </w:rPr>
        <w:t xml:space="preserve">Signatories and records.</w:t>
      </w:r>
      <w:r>
        <w:t xml:space="preserve"> The agreement should be signed by persons authorised to sign for each institution. The Provider should record the disclosure as a recipient in its record of processing activities.</w:t>
      </w:r>
    </w:p>
    <w:p>
      <w:pPr>
        <w:pStyle w:val="ListParagraph"/>
        <w:numPr>
          <w:ilvl w:val="0"/>
          <w:numId w:val="2"/>
        </w:numPr>
      </w:pPr>
      <w:r>
        <w:rPr>
          <w:b/>
          <w:bCs/>
        </w:rPr>
        <w:t xml:space="preserve">Other terms.</w:t>
      </w:r>
      <w:r>
        <w:t xml:space="preserve"> Intellectual property, acknowledgement, fees and confidentiality of non-personal data are often handled in a separate data or material transfer agreement. Make sure the two documents do not conflict.</w:t>
      </w:r>
    </w:p>
    <w:p>
      <w:pPr>
        <w:pStyle w:val="Heading1"/>
      </w:pPr>
      <w:r>
        <w:t xml:space="preserve">Agreement</w:t>
      </w:r>
    </w:p>
    <w:p>
      <w:pPr>
        <w:pStyle w:val="Heading2"/>
      </w:pPr>
      <w:r>
        <w:t xml:space="preserve">Parties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47"/>
        <w:gridCol w:w="3340"/>
        <w:gridCol w:w="3340"/>
      </w:tblGrid>
      <w:tr>
        <w:trPr>
          <w:tblHeader/>
        </w:trPr>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334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Provider</w:t>
            </w:r>
          </w:p>
        </w:tc>
        <w:tc>
          <w:tcPr>
            <w:tcW w:type="dxa" w:w="334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Recipient</w:t>
            </w:r>
          </w:p>
        </w:tc>
      </w:tr>
      <w:tr>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 name</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[Institution]</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[Institution]</w:t>
            </w:r>
          </w:p>
        </w:tc>
      </w:tr>
      <w:tr>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Registration number</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[Number]</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[Number]</w:t>
            </w:r>
          </w:p>
        </w:tc>
      </w:tr>
      <w:tr>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Address and country</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[Address]</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[Address]</w:t>
            </w:r>
          </w:p>
        </w:tc>
      </w:tr>
      <w:tr>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Responsible researcher</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r>
      <w:tr>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officer or contact</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c>
          <w:tcPr>
            <w:tcW w:type="dxa" w:w="334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r>
    </w:tbl>
    <w:p/>
    <w:p>
      <w:pPr>
        <w:pStyle w:val="Heading2"/>
      </w:pPr>
      <w:r>
        <w:t xml:space="preserve">1. Roles</w:t>
      </w:r>
    </w:p>
    <w:p>
      <w:pPr>
        <w:pStyle w:val="ListParagraph"/>
        <w:numPr>
          <w:ilvl w:val="0"/>
          <w:numId w:val="3"/>
        </w:numPr>
      </w:pPr>
      <w:r>
        <w:t xml:space="preserve">The Provider discloses the personal data described in Annex 1 ("the Shared Data") to the Recipient for the Recipient's research project described in clause 2.</w:t>
      </w:r>
    </w:p>
    <w:p>
      <w:pPr>
        <w:pStyle w:val="ListParagraph"/>
        <w:numPr>
          <w:ilvl w:val="0"/>
          <w:numId w:val="3"/>
        </w:numPr>
      </w:pPr>
      <w:r>
        <w:t xml:space="preserve">Each Party is a separate controller for its own processing of the Shared Data. The Recipient does not process the Shared Data on behalf of the Provider, and the Parties are not joint controllers.</w:t>
      </w:r>
    </w:p>
    <w:p>
      <w:pPr>
        <w:pStyle w:val="ListParagraph"/>
        <w:numPr>
          <w:ilvl w:val="0"/>
          <w:numId w:val="3"/>
        </w:numPr>
      </w:pPr>
      <w:r>
        <w:t xml:space="preserve">This agreement does not transfer ownership of the Shared Data or any intellectual property rights except as stated in </w:t>
      </w:r>
      <w:r>
        <w:rPr>
          <w:highlight w:val="yellow"/>
          <w:highlightCs w:val="yellow"/>
        </w:rPr>
        <w:t xml:space="preserve">[separate agreement]</w:t>
      </w:r>
      <w:r>
        <w:t xml:space="preserve">.</w:t>
      </w:r>
    </w:p>
    <w:p>
      <w:pPr>
        <w:pStyle w:val="Heading2"/>
      </w:pPr>
      <w:r>
        <w:t xml:space="preserve">2. Purpose</w:t>
      </w:r>
    </w:p>
    <w:p>
      <w:pPr>
        <w:pStyle w:val="ListParagraph"/>
        <w:numPr>
          <w:ilvl w:val="0"/>
          <w:numId w:val="4"/>
        </w:numPr>
      </w:pPr>
      <w:r>
        <w:t xml:space="preserve">The Recipient shall process the Shared Data only for the research project </w:t>
      </w:r>
      <w:r>
        <w:rPr>
          <w:highlight w:val="yellow"/>
          <w:highlightCs w:val="yellow"/>
        </w:rPr>
        <w:t xml:space="preserve">[title, protocol reference]</w:t>
      </w:r>
      <w:r>
        <w:t xml:space="preserve"> ("the Project"), with the research questions and methods described in Annex 1.</w:t>
      </w:r>
    </w:p>
    <w:p>
      <w:pPr>
        <w:pStyle w:val="ListParagraph"/>
        <w:numPr>
          <w:ilvl w:val="0"/>
          <w:numId w:val="4"/>
        </w:numPr>
      </w:pPr>
      <w:r>
        <w:t xml:space="preserve">Ethics approval for the Project: </w:t>
      </w:r>
      <w:r>
        <w:rPr>
          <w:highlight w:val="yellow"/>
          <w:highlightCs w:val="yellow"/>
        </w:rPr>
        <w:t xml:space="preserve">[authority, reference number, date]</w:t>
      </w:r>
      <w:r>
        <w:t xml:space="preserve">, or </w:t>
      </w:r>
      <w:r>
        <w:rPr>
          <w:highlight w:val="yellow"/>
          <w:highlightCs w:val="yellow"/>
        </w:rPr>
        <w:t xml:space="preserve">[not required because: reason]</w:t>
      </w:r>
      <w:r>
        <w:t xml:space="preserve">.</w:t>
      </w:r>
    </w:p>
    <w:p>
      <w:pPr>
        <w:pStyle w:val="ListParagraph"/>
        <w:numPr>
          <w:ilvl w:val="0"/>
          <w:numId w:val="4"/>
        </w:numPr>
      </w:pPr>
      <w:r>
        <w:t xml:space="preserve">Any other use, including use in another research project, requires the Provider's prior written consent and, where required, new ethics approval and information to data subjects.</w:t>
      </w:r>
    </w:p>
    <w:p>
      <w:pPr>
        <w:pStyle w:val="Heading2"/>
      </w:pPr>
      <w:r>
        <w:t xml:space="preserve">3. Legal basis</w:t>
      </w:r>
    </w:p>
    <w:p>
      <w:pPr>
        <w:pStyle w:val="ListParagraph"/>
        <w:numPr>
          <w:ilvl w:val="0"/>
          <w:numId w:val="5"/>
        </w:numPr>
      </w:pPr>
      <w:r>
        <w:t xml:space="preserve">The Provider discloses the Shared Data on the basis of </w:t>
      </w:r>
      <w:r>
        <w:rPr>
          <w:highlight w:val="yellow"/>
          <w:highlightCs w:val="yellow"/>
        </w:rPr>
        <w:t xml:space="preserve">[Article 6 basis, and national law where relevant]</w:t>
      </w:r>
      <w:r>
        <w:t xml:space="preserve">, for scientific research purposes in accordance with Article 5(1)(b) and Article 89(1) GDPR.</w:t>
      </w:r>
    </w:p>
    <w:p>
      <w:pPr>
        <w:pStyle w:val="ListParagraph"/>
        <w:numPr>
          <w:ilvl w:val="0"/>
          <w:numId w:val="5"/>
        </w:numPr>
      </w:pPr>
      <w:r>
        <w:t xml:space="preserve">The Recipient processes the Shared Data on the basis of </w:t>
      </w:r>
      <w:r>
        <w:rPr>
          <w:highlight w:val="yellow"/>
          <w:highlightCs w:val="yellow"/>
        </w:rPr>
        <w:t xml:space="preserve">[Article 6 basis]</w:t>
      </w:r>
      <w:r>
        <w:t xml:space="preserve"> and, for special categories of personal data, </w:t>
      </w:r>
      <w:r>
        <w:rPr>
          <w:highlight w:val="yellow"/>
          <w:highlightCs w:val="yellow"/>
        </w:rPr>
        <w:t xml:space="preserve">[Article 9(2) condition and national law]</w:t>
      </w:r>
      <w:r>
        <w:t xml:space="preserve">.</w:t>
      </w:r>
    </w:p>
    <w:p>
      <w:pPr>
        <w:pStyle w:val="ListParagraph"/>
        <w:numPr>
          <w:ilvl w:val="0"/>
          <w:numId w:val="5"/>
        </w:numPr>
      </w:pPr>
      <w:r>
        <w:t xml:space="preserve">Each Party is responsible for its own legal basis and shall inform the other Party without delay if it can no longer rely on it.</w:t>
      </w:r>
    </w:p>
    <w:p>
      <w:pPr>
        <w:pStyle w:val="Heading2"/>
      </w:pPr>
      <w:r>
        <w:t xml:space="preserve">4. Conditions of use</w:t>
      </w:r>
    </w:p>
    <w:p>
      <w:pPr>
        <w:pStyle w:val="ListParagraph"/>
        <w:numPr>
          <w:ilvl w:val="0"/>
          <w:numId w:val="6"/>
        </w:numPr>
      </w:pPr>
      <w:r>
        <w:t xml:space="preserve">The Recipient shall not attempt to identify any individual in the Shared Data, link the Shared Data to other data except as described in Annex 1, or contact any data subject.</w:t>
      </w:r>
    </w:p>
    <w:p>
      <w:pPr>
        <w:pStyle w:val="ListParagraph"/>
        <w:numPr>
          <w:ilvl w:val="0"/>
          <w:numId w:val="6"/>
        </w:numPr>
      </w:pPr>
      <w:r>
        <w:t xml:space="preserve">If the Recipient becomes able to identify an individual, it shall stop the relevant processing, inform the Provider and not use or disclose the identifying information.</w:t>
      </w:r>
    </w:p>
    <w:p>
      <w:pPr>
        <w:pStyle w:val="ListParagraph"/>
        <w:numPr>
          <w:ilvl w:val="0"/>
          <w:numId w:val="6"/>
        </w:numPr>
      </w:pPr>
      <w:r>
        <w:t xml:space="preserve">Only the named researchers in Annex 1, and other staff of the Recipient bound by confidentiality who need access for the Project, may access the Shared Data.</w:t>
      </w:r>
    </w:p>
    <w:p>
      <w:pPr>
        <w:pStyle w:val="ListParagraph"/>
        <w:numPr>
          <w:ilvl w:val="0"/>
          <w:numId w:val="6"/>
        </w:numPr>
      </w:pPr>
      <w:r>
        <w:t xml:space="preserve">The Recipient shall not disclose the Shared Data to any third party, including other research partners, without the Provider's prior written consent. Processors may be used under clause 5.</w:t>
      </w:r>
    </w:p>
    <w:p>
      <w:pPr>
        <w:pStyle w:val="ListParagraph"/>
        <w:numPr>
          <w:ilvl w:val="0"/>
          <w:numId w:val="6"/>
        </w:numPr>
      </w:pPr>
      <w:r>
        <w:t xml:space="preserve">The Recipient shall publish or disclose results only in a form that does not identify individuals, applying </w:t>
      </w:r>
      <w:r>
        <w:rPr>
          <w:highlight w:val="yellow"/>
          <w:highlightCs w:val="yellow"/>
        </w:rPr>
        <w:t xml:space="preserve">[the statistical disclosure control rules in Annex 1, e.g. no cells below [n]</w:t>
      </w:r>
      <w:r>
        <w:t xml:space="preserve">].</w:t>
      </w:r>
    </w:p>
    <w:p>
      <w:pPr>
        <w:pStyle w:val="Heading2"/>
      </w:pPr>
      <w:r>
        <w:t xml:space="preserve">5. Processors and storage</w:t>
      </w:r>
    </w:p>
    <w:p>
      <w:pPr>
        <w:pStyle w:val="ListParagraph"/>
        <w:numPr>
          <w:ilvl w:val="0"/>
          <w:numId w:val="7"/>
        </w:numPr>
      </w:pPr>
      <w:r>
        <w:t xml:space="preserve">The Recipient may use processors (for example cloud storage or analysis services) for the Project only under a written agreement meeting Article 28 GDPR, or equivalent requirements where the GDPR does not apply to the Recipient, and only in the locations stated in Annex 1.</w:t>
      </w:r>
    </w:p>
    <w:p>
      <w:pPr>
        <w:pStyle w:val="ListParagraph"/>
        <w:numPr>
          <w:ilvl w:val="0"/>
          <w:numId w:val="7"/>
        </w:numPr>
      </w:pPr>
      <w:r>
        <w:t xml:space="preserve">The Recipient shall store and analyse the Shared Data only in the environments listed in Annex 1, which shall be approved for the classification of the data.</w:t>
      </w:r>
    </w:p>
    <w:p>
      <w:pPr>
        <w:pStyle w:val="Heading2"/>
      </w:pPr>
      <w:r>
        <w:t xml:space="preserve">6. Security</w:t>
      </w:r>
    </w:p>
    <w:p>
      <w:pPr>
        <w:pStyle w:val="ListParagraph"/>
        <w:numPr>
          <w:ilvl w:val="0"/>
          <w:numId w:val="8"/>
        </w:numPr>
      </w:pPr>
      <w:r>
        <w:t xml:space="preserve">The Recipient shall implement appropriate technical and organisational measures to protect the Shared Data, including at least the measures in Annex 2.</w:t>
      </w:r>
    </w:p>
    <w:p>
      <w:pPr>
        <w:pStyle w:val="ListParagraph"/>
        <w:numPr>
          <w:ilvl w:val="0"/>
          <w:numId w:val="8"/>
        </w:numPr>
      </w:pPr>
      <w:r>
        <w:t xml:space="preserve">The Provider shall transfer the Shared Data using the secure method stated in Annex 2 and shall send any decryption key or password through a separate channel.</w:t>
      </w:r>
    </w:p>
    <w:p>
      <w:pPr>
        <w:pStyle w:val="Heading2"/>
      </w:pPr>
      <w:r>
        <w:t xml:space="preserve">7. Data subject rights</w:t>
      </w:r>
    </w:p>
    <w:p>
      <w:pPr>
        <w:pStyle w:val="ListParagraph"/>
        <w:numPr>
          <w:ilvl w:val="0"/>
          <w:numId w:val="9"/>
        </w:numPr>
      </w:pPr>
      <w:r>
        <w:t xml:space="preserve">Each Party handles requests from data subjects concerning its own processing.</w:t>
      </w:r>
    </w:p>
    <w:p>
      <w:pPr>
        <w:pStyle w:val="ListParagraph"/>
        <w:numPr>
          <w:ilvl w:val="0"/>
          <w:numId w:val="9"/>
        </w:numPr>
      </w:pPr>
      <w:r>
        <w:t xml:space="preserve">Where the Shared Data is pseudonymised, the Provider shall, on a request from a data subject, provide the Recipient with the pseudonym or other information needed to locate the data subject's records, and the Recipient shall act on it, unless an exemption applies under Article 11 or Article 89(2) GDPR or national law.</w:t>
      </w:r>
    </w:p>
    <w:p>
      <w:pPr>
        <w:pStyle w:val="ListParagraph"/>
        <w:numPr>
          <w:ilvl w:val="0"/>
          <w:numId w:val="9"/>
        </w:numPr>
      </w:pPr>
      <w:r>
        <w:t xml:space="preserve">The Recipient shall inform the Provider without undue delay of any request or complaint concerning the Shared Data that it receives.</w:t>
      </w:r>
    </w:p>
    <w:p>
      <w:pPr>
        <w:pStyle w:val="Heading2"/>
      </w:pPr>
      <w:r>
        <w:t xml:space="preserve">8. Personal data breaches</w:t>
      </w:r>
    </w:p>
    <w:p>
      <w:pPr>
        <w:spacing w:after="120"/>
      </w:pPr>
      <w:r>
        <w:t xml:space="preserve">The Recipient shall notify the Provider's contact person without undue delay, and in any event within </w:t>
      </w:r>
      <w:r>
        <w:rPr>
          <w:highlight w:val="yellow"/>
          <w:highlightCs w:val="yellow"/>
        </w:rPr>
        <w:t xml:space="preserve">[48]</w:t>
      </w:r>
      <w:r>
        <w:t xml:space="preserve"> hours of becoming aware, of any personal data breach affecting the Shared Data, describing what happened, the data affected, likely consequences and measures taken. The Recipient remains responsible for its own notifications under Articles 33 and 34 GDPR, and the Parties shall coordinate any communication to data subjects.</w:t>
      </w:r>
    </w:p>
    <w:p>
      <w:pPr>
        <w:pStyle w:val="Heading2"/>
      </w:pPr>
      <w:r>
        <w:t xml:space="preserve">9. Transfers outside the EEA</w:t>
      </w:r>
    </w:p>
    <w:p>
      <w:pPr>
        <w:pStyle w:val="ListParagraph"/>
        <w:numPr>
          <w:ilvl w:val="0"/>
          <w:numId w:val="10"/>
        </w:numPr>
      </w:pPr>
      <w:r>
        <w:t xml:space="preserve">If the Recipient is located outside the EEA, or the Shared Data will be stored, accessed or processed outside the EEA, the transfer shall take place only on the basis set out in Annex 3, in accordance with Chapter V GDPR.</w:t>
      </w:r>
    </w:p>
    <w:p>
      <w:pPr>
        <w:pStyle w:val="ListParagraph"/>
        <w:numPr>
          <w:ilvl w:val="0"/>
          <w:numId w:val="10"/>
        </w:numPr>
      </w:pPr>
      <w:r>
        <w:t xml:space="preserve">Where Annex 3 refers to the standard contractual clauses, the Parties enter into Module One of the clauses annexed to Commission Implementing Decision (EU) 2021/914, which form part of this agreement and prevail in case of conflict.</w:t>
      </w:r>
    </w:p>
    <w:p>
      <w:pPr>
        <w:pStyle w:val="ListParagraph"/>
        <w:numPr>
          <w:ilvl w:val="0"/>
          <w:numId w:val="10"/>
        </w:numPr>
      </w:pPr>
      <w:r>
        <w:t xml:space="preserve">The Recipient shall not make onward transfers of the Shared Data to another third country or organisation without the Provider's prior written consent and an appropriate transfer tool.</w:t>
      </w:r>
    </w:p>
    <w:p>
      <w:pPr>
        <w:pStyle w:val="Heading2"/>
      </w:pPr>
      <w:r>
        <w:t xml:space="preserve">10. Retention and end of use</w:t>
      </w:r>
    </w:p>
    <w:p>
      <w:pPr>
        <w:pStyle w:val="ListParagraph"/>
        <w:numPr>
          <w:ilvl w:val="0"/>
          <w:numId w:val="11"/>
        </w:numPr>
      </w:pPr>
      <w:r>
        <w:t xml:space="preserve">The Recipient may keep the Shared Data until </w:t>
      </w:r>
      <w:r>
        <w:rPr>
          <w:highlight w:val="yellow"/>
          <w:highlightCs w:val="yellow"/>
        </w:rPr>
        <w:t xml:space="preserve">[date or event, e.g. completion of the Project and the retention period required for verification of results]</w:t>
      </w:r>
      <w:r>
        <w:t xml:space="preserve">, after which it shall </w:t>
      </w:r>
      <w:r>
        <w:rPr>
          <w:highlight w:val="yellow"/>
          <w:highlightCs w:val="yellow"/>
        </w:rPr>
        <w:t xml:space="preserve">[delete / return]</w:t>
      </w:r>
      <w:r>
        <w:t xml:space="preserve"> the Shared Data and all copies, unless law requires longer retention.</w:t>
      </w:r>
    </w:p>
    <w:p>
      <w:pPr>
        <w:pStyle w:val="ListParagraph"/>
        <w:numPr>
          <w:ilvl w:val="0"/>
          <w:numId w:val="11"/>
        </w:numPr>
      </w:pPr>
      <w:r>
        <w:t xml:space="preserve">The Recipient shall confirm deletion in writing using the certificate in Annex 4.</w:t>
      </w:r>
    </w:p>
    <w:p>
      <w:pPr>
        <w:pStyle w:val="ListParagraph"/>
        <w:numPr>
          <w:ilvl w:val="0"/>
          <w:numId w:val="11"/>
        </w:numPr>
      </w:pPr>
      <w:r>
        <w:rPr>
          <w:highlight w:val="yellow"/>
          <w:highlightCs w:val="yellow"/>
        </w:rPr>
        <w:t xml:space="preserve">[If the Recipient must retain data for verification or archiving, state what, in which form, for how long and under which law.]</w:t>
      </w:r>
    </w:p>
    <w:p>
      <w:pPr>
        <w:pStyle w:val="Heading2"/>
      </w:pPr>
      <w:r>
        <w:t xml:space="preserve">11. Assurance and suspension</w:t>
      </w:r>
    </w:p>
    <w:p>
      <w:pPr>
        <w:pStyle w:val="ListParagraph"/>
        <w:numPr>
          <w:ilvl w:val="0"/>
          <w:numId w:val="12"/>
        </w:numPr>
      </w:pPr>
      <w:r>
        <w:t xml:space="preserve">On reasonable request, the Recipient shall provide information showing compliance with this agreement, such as a description of its storage environment and access list.</w:t>
      </w:r>
    </w:p>
    <w:p>
      <w:pPr>
        <w:pStyle w:val="ListParagraph"/>
        <w:numPr>
          <w:ilvl w:val="0"/>
          <w:numId w:val="12"/>
        </w:numPr>
      </w:pPr>
      <w:r>
        <w:t xml:space="preserve">The Provider may suspend further disclosures, and require the Recipient to stop processing, if the Recipient breaches this agreement or if the Provider can no longer lawfully share the data.</w:t>
      </w:r>
    </w:p>
    <w:p>
      <w:pPr>
        <w:pStyle w:val="Heading2"/>
      </w:pPr>
      <w:r>
        <w:t xml:space="preserve">12. Acknowledgement and publication</w:t>
      </w:r>
    </w:p>
    <w:p>
      <w:pPr>
        <w:spacing w:after="120"/>
      </w:pPr>
      <w:r>
        <w:t xml:space="preserve">The Recipient shall acknowledge the Provider and the original study in publications as follows: </w:t>
      </w:r>
      <w:r>
        <w:rPr>
          <w:highlight w:val="yellow"/>
          <w:highlightCs w:val="yellow"/>
        </w:rPr>
        <w:t xml:space="preserve">[citation or acknowledgement text]</w:t>
      </w:r>
      <w:r>
        <w:t xml:space="preserve">. </w:t>
      </w:r>
      <w:r>
        <w:rPr>
          <w:highlight w:val="yellow"/>
          <w:highlightCs w:val="yellow"/>
        </w:rPr>
        <w:t xml:space="preserve">[Optional: The Recipient shall send the Provider a copy of publications based on the Shared Data [before / after]</w:t>
      </w:r>
      <w:r>
        <w:t xml:space="preserve"> publication.]</w:t>
      </w:r>
    </w:p>
    <w:p>
      <w:pPr>
        <w:pStyle w:val="Heading2"/>
      </w:pPr>
      <w:r>
        <w:t xml:space="preserve">13. Liability</w:t>
      </w:r>
    </w:p>
    <w:p>
      <w:pPr>
        <w:spacing w:after="120"/>
      </w:pPr>
      <w:r>
        <w:t xml:space="preserve">Each Party is responsible for its own processing of the Shared Data and for its own compliance with data protection law. </w:t>
      </w:r>
      <w:r>
        <w:rPr>
          <w:highlight w:val="yellow"/>
          <w:highlightCs w:val="yellow"/>
        </w:rPr>
        <w:t xml:space="preserve">[Liability between the Parties: state any limitation or indemnity agreed, subject to mandatory law.]</w:t>
      </w:r>
    </w:p>
    <w:p>
      <w:pPr>
        <w:pStyle w:val="Heading2"/>
      </w:pPr>
      <w:r>
        <w:t xml:space="preserve">14. Term and governing law</w:t>
      </w:r>
    </w:p>
    <w:p>
      <w:pPr>
        <w:pStyle w:val="ListParagraph"/>
        <w:numPr>
          <w:ilvl w:val="0"/>
          <w:numId w:val="13"/>
        </w:numPr>
      </w:pPr>
      <w:r>
        <w:t xml:space="preserve">This agreement enters into force on signature and remains in force until the Recipient has deleted or returned the Shared Data. Clauses 4, 6, 7, 8 and 10 survive termination for as long as the Recipient holds any Shared Data.</w:t>
      </w:r>
    </w:p>
    <w:p>
      <w:pPr>
        <w:pStyle w:val="ListParagraph"/>
        <w:numPr>
          <w:ilvl w:val="0"/>
          <w:numId w:val="13"/>
        </w:numPr>
      </w:pPr>
      <w:r>
        <w:t xml:space="preserve">This agreement is governed by </w:t>
      </w:r>
      <w:r>
        <w:rPr>
          <w:highlight w:val="yellow"/>
          <w:highlightCs w:val="yellow"/>
        </w:rPr>
        <w:t xml:space="preserve">[law]</w:t>
      </w:r>
      <w:r>
        <w:t xml:space="preserve">, and disputes shall be resolved by </w:t>
      </w:r>
      <w:r>
        <w:rPr>
          <w:highlight w:val="yellow"/>
          <w:highlightCs w:val="yellow"/>
        </w:rPr>
        <w:t xml:space="preserve">[courts of place / procedure]</w:t>
      </w:r>
      <w:r>
        <w:t xml:space="preserve">.</w:t>
      </w:r>
    </w:p>
    <w:p>
      <w:pPr>
        <w:pStyle w:val="Heading2"/>
      </w:pPr>
      <w:r>
        <w:t xml:space="preserve">Signatures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3430"/>
        <w:gridCol w:w="1354"/>
        <w:gridCol w:w="225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w:t>
            </w: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Name and title of authorised signatory</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Signature</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Provider</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Recipient</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Read and understood by the Recipient's responsible researcher</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 1: Description of the Shared Data and the Project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Description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Source study</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[Title, protocol, ethics reference of the original study]</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Recipient's Project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[Title, research questions, methods, ethics reference]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subjects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adults who took part in </w:t>
            </w:r>
            <w:r>
              <w:rPr>
                <w:highlight w:val="yellow"/>
                <w:highlightCs w:val="yellow"/>
              </w:rPr>
              <w:t xml:space="preserve">[study]</w:t>
            </w:r>
            <w:r>
              <w:t xml:space="preserve"> between </w:t>
            </w:r>
            <w:r>
              <w:rPr>
                <w:highlight w:val="yellow"/>
                <w:highlightCs w:val="yellow"/>
              </w:rPr>
              <w:t xml:space="preserve">[years]</w:t>
            </w:r>
            <w:r>
              <w:t xml:space="preserv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Number of records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[Approximate number]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Format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[Anonymised / pseudonymised / identifiable]</w:t>
            </w:r>
            <w:r>
              <w:t xml:space="preserve">; </w:t>
            </w:r>
            <w:r>
              <w:rPr>
                <w:highlight w:val="yellow"/>
                <w:highlightCs w:val="yellow"/>
              </w:rPr>
              <w:t xml:space="preserve">[file format]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Special categories or criminal offence data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 which]</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Who holds the pseudonymisation key</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[Provider only; stored at ...]</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Permitted linkage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[None / with dataset X, by method Y]</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Named researchers with access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 and analysis environment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[Service, operator, country]</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Processors used by the Recipient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service, country]</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[Until ...]</w:t>
            </w:r>
          </w:p>
        </w:tc>
      </w:tr>
    </w:tbl>
    <w:p/>
    <w:p>
      <w:pPr>
        <w:pStyle w:val="Heading2"/>
      </w:pPr>
      <w:r>
        <w:t xml:space="preserve">Variables and minimisation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3610"/>
        <w:gridCol w:w="3159"/>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Variable</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Why it is needed for the Project</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Less identifying alternative considered</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year of birth</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Age-adjusted analysis</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Exact date of birth not shared; 5-year age bands considered but too coarse for the model</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postcode</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 needed</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Replaced by region</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[Variable]</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 2: Minimum security measures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4513"/>
        <w:gridCol w:w="252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Area</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Requirement</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Recipient's confirmation</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Only in the environment in Annex 1, approved by the Recipient's institution for this classification of data; not on personal devices or consumer cloud accounts.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details]</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Access</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Named individuals only; institutional accounts with multi-factor authentication; access removed when no longer needed.</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Encryption</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Encrypted in transit; encrypted at rest; encrypted portable media only if unavoidable.</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Transfer method</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institutional secure file transfer service, encrypted archive with password sent separately]</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Logging</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Access to the Shared Data is logged where the environment allows.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Sharing links</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 public or "anyone with the link" sharing of the Shared Data.</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Deletion</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Secure deletion from all locations, including backups as they expire.</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 3: Transfers outside the EEA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there a transfer?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 Recipient, storage and access all in the EEA / Yes: complete below]</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Destination country</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[Country]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Adequacy decision (Article 45)</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name of decision; for the United States, confirm the Recipient is listed in the EU-US Data Privacy Framework / No]</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If no adequacy: Article 46 safeguard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[Standard contractual clauses, Decision (EU) 2021/914, Module One, attached / instrument between public bodies (Article 46(2)(a)) / other]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Transfer impact assessment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[Reference and 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Supplementary measures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pseudonymisation with the key kept in the EEA; encryption with keys held in the EEA]</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Article 49 derogation (exceptional)</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[Only if no other tool applies: which derogation and why]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Onward transfers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[Not permitted / permitted to ... under ...]</w:t>
            </w:r>
          </w:p>
        </w:tc>
      </w:tr>
    </w:tbl>
    <w:p/>
    <w:p>
      <w:pPr>
        <w:pStyle w:val="Heading1"/>
      </w:pPr>
      <w:r>
        <w:t xml:space="preserve">Annex 4: Transfer log and certificate of deletion</w:t>
      </w:r>
    </w:p>
    <w:p>
      <w:pPr>
        <w:pStyle w:val="Heading2"/>
      </w:pPr>
      <w:r>
        <w:t xml:space="preserve">Transfer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4"/>
        <w:gridCol w:w="2708"/>
        <w:gridCol w:w="1805"/>
        <w:gridCol w:w="1534"/>
        <w:gridCol w:w="1625"/>
      </w:tblGrid>
      <w:tr>
        <w:trPr>
          <w:tblHeader/>
        </w:trPr>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Dataset and version</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Method</w:t>
            </w:r>
          </w:p>
        </w:tc>
        <w:tc>
          <w:tcPr>
            <w:tcW w:type="dxa" w:w="153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Sent by</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Received by</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version, checksum]</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[Method]</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w:t>
            </w:r>
          </w:p>
        </w:tc>
      </w:tr>
    </w:tbl>
    <w:p/>
    <w:p>
      <w:pPr>
        <w:pStyle w:val="Heading2"/>
      </w:pPr>
      <w:r>
        <w:t xml:space="preserve">Certificate of deletion</w:t>
      </w:r>
    </w:p>
    <w:p>
      <w:pPr>
        <w:spacing w:after="120"/>
      </w:pPr>
      <w:r>
        <w:t xml:space="preserve">I confirm on behalf of </w:t>
      </w:r>
      <w:r>
        <w:rPr>
          <w:highlight w:val="yellow"/>
          <w:highlightCs w:val="yellow"/>
        </w:rPr>
        <w:t xml:space="preserve">[Recipient]</w:t>
      </w:r>
      <w:r>
        <w:t xml:space="preserve"> that all copies of the Shared Data received under the data sharing agreement dated </w:t>
      </w:r>
      <w:r>
        <w:rPr>
          <w:highlight w:val="yellow"/>
          <w:highlightCs w:val="yellow"/>
        </w:rPr>
        <w:t xml:space="preserve">[date]</w:t>
      </w:r>
      <w:r>
        <w:t xml:space="preserve">, including copies held by our processors, were deleted on </w:t>
      </w:r>
      <w:r>
        <w:rPr>
          <w:highlight w:val="yellow"/>
          <w:highlightCs w:val="yellow"/>
        </w:rPr>
        <w:t xml:space="preserve">[date]</w:t>
      </w:r>
      <w:r>
        <w:t xml:space="preserve">, except: </w:t>
      </w:r>
      <w:r>
        <w:rPr>
          <w:highlight w:val="yellow"/>
          <w:highlightCs w:val="yellow"/>
        </w:rPr>
        <w:t xml:space="preserve">[none / data retained under clause 10.3, describe]</w:t>
      </w:r>
      <w:r>
        <w:t xml:space="preserve">.</w:t>
      </w:r>
    </w:p>
    <w:p>
      <w:pPr>
        <w:spacing w:after="120"/>
      </w:pPr>
      <w:r>
        <w:t xml:space="preserve">Name: </w:t>
      </w:r>
      <w:r>
        <w:rPr>
          <w:highlight w:val="yellow"/>
          <w:highlightCs w:val="yellow"/>
        </w:rPr>
        <w:t xml:space="preserve">[ ]</w:t>
      </w:r>
      <w:r>
        <w:t xml:space="preserve">   Title: </w:t>
      </w:r>
      <w:r>
        <w:rPr>
          <w:highlight w:val="yellow"/>
          <w:highlightCs w:val="yellow"/>
        </w:rPr>
        <w:t xml:space="preserve">[ ]</w:t>
      </w:r>
      <w:r>
        <w:t xml:space="preserve">   Date: </w:t>
      </w:r>
      <w:r>
        <w:rPr>
          <w:highlight w:val="yellow"/>
          <w:highlightCs w:val="yellow"/>
        </w:rPr>
        <w:t xml:space="preserve">[ ]</w:t>
      </w:r>
      <w:r>
        <w:t xml:space="preserve">   Signature: </w:t>
      </w:r>
      <w:r>
        <w:rPr>
          <w:highlight w:val="yellow"/>
          <w:highlightCs w:val="yellow"/>
        </w:rP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abstractNum w:abstractNumId="12" w15:restartNumberingAfterBreak="0">
    <w:multiLevelType w:val="hybridMultilevel"/>
    <w:lvl w:ilvl="0" w15:tentative="1">
      <w:start w:val="1"/>
      <w:numFmt w:val="decimal"/>
      <w:lvlText w:val="%1."/>
      <w:lvlJc w:val="left"/>
      <w:pPr>
        <w:ind w:left="720" w:hanging="360"/>
      </w:pPr>
    </w:lvl>
  </w:abstractNum>
  <w:abstractNum w:abstractNumId="13" w15:restartNumberingAfterBreak="0">
    <w:multiLevelType w:val="hybridMultilevel"/>
    <w:lvl w:ilvl="0" w15:tentative="1">
      <w:start w:val="1"/>
      <w:numFmt w:val="decimal"/>
      <w:lvlText w:val="%1."/>
      <w:lvlJc w:val="left"/>
      <w:pPr>
        <w:ind w:left="720" w:hanging="360"/>
      </w:pPr>
    </w:lvl>
  </w:abstractNum>
  <w:abstractNum w:abstractNumId="1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12"/>
    <w:lvlOverride w:ilvl="0">
      <w:startOverride w:val="1"/>
    </w:lvlOverride>
  </w:num>
  <w:num w:numId="12">
    <w:abstractNumId w:val="13"/>
    <w:lvlOverride w:ilvl="0">
      <w:startOverride w:val="1"/>
    </w:lvlOverride>
  </w:num>
  <w:num w:numId="13">
    <w:abstractNumId w:val="1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sharing agreement for research data</dc:title>
  <dc:creator>Validemic</dc:creator>
  <cp:lastModifiedBy>Un-named</cp:lastModifiedBy>
  <cp:revision>1</cp:revision>
  <dcterms:created xsi:type="dcterms:W3CDTF">2026-10-07T07:27:57.941Z</dcterms:created>
  <dcterms:modified xsi:type="dcterms:W3CDTF">2026-10-07T07:27:57.941Z</dcterms:modified>
</cp:coreProperties>
</file>

<file path=docProps/custom.xml><?xml version="1.0" encoding="utf-8"?>
<Properties xmlns="http://schemas.openxmlformats.org/officeDocument/2006/custom-properties" xmlns:vt="http://schemas.openxmlformats.org/officeDocument/2006/docPropsVTypes"/>
</file>