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Databehandleraftale</w:t>
      </w:r>
    </w:p>
    <w:p>
      <w:pPr>
        <w:spacing w:after="240"/>
      </w:pPr>
      <w:r>
        <w:rPr>
          <w:color w:val="64748B"/>
        </w:rPr>
        <w:t xml:space="preserve">Skabelon for universiteter og professionshøjskoler efter databeskyttelsesforordningens artikel 28. Version oktober 2026, validemic.com</w:t>
      </w:r>
    </w:p>
    <w:p>
      <w:pPr>
        <w:pBdr>
          <w:left w:val="single" w:color="F59E0B" w:sz="18" w:space="8"/>
        </w:pBdr>
        <w:shd w:fill="FFFBEB" w:color="auto" w:val="clear"/>
        <w:spacing w:after="160" w:before="120"/>
      </w:pPr>
      <w:r>
        <w:rPr>
          <w:i/>
          <w:iCs/>
        </w:rPr>
        <w:t xml:space="preserve">Skabelonen er ikke juridisk rådgivning. Den er et udgangspunkt, som skal tilpasses den konkrete behandling, hovedaftalen og institutionens egne procedurer, og den bør gennemgås af databeskyttelsesrådgiveren (DPO) eller en jurist, før den tages i brug. Skabelonen er ikke Datatilsynets standardkontraktbestemmelser. Ønsker I at anvende standardkontraktbestemmelserne efter artikel 28, stk. 8, skal I bruge Datatilsynets egen skabelon uden ændringer i selve bestemmelserne.</w:t>
      </w:r>
    </w:p>
    <w:p>
      <w:pPr>
        <w:pStyle w:val="Heading2"/>
      </w:pPr>
      <w:r>
        <w:t xml:space="preserve">Sådan bruger I skabelonen</w:t>
      </w:r>
    </w:p>
    <w:p>
      <w:pPr>
        <w:pStyle w:val="ListParagraph"/>
        <w:numPr>
          <w:ilvl w:val="0"/>
          <w:numId w:val="2"/>
        </w:numPr>
      </w:pPr>
      <w:r>
        <w:t xml:space="preserve">Udfyld alle pladsholdere i </w:t>
      </w:r>
      <w:r>
        <w:rPr>
          <w:highlight w:val="yellow"/>
          <w:highlightCs w:val="yellow"/>
        </w:rPr>
        <w:t xml:space="preserve">[kantede parenteser]</w:t>
      </w:r>
      <w:r>
        <w:t xml:space="preserve">. De er markeret med gult.</w:t>
      </w:r>
    </w:p>
    <w:p>
      <w:pPr>
        <w:pStyle w:val="ListParagraph"/>
        <w:numPr>
          <w:ilvl w:val="0"/>
          <w:numId w:val="2"/>
        </w:numPr>
      </w:pPr>
      <w:r>
        <w:t xml:space="preserve">Hvor skabelonen giver valgmuligheder (fx </w:t>
      </w:r>
      <w:r>
        <w:rPr>
          <w:b/>
          <w:bCs/>
        </w:rPr>
        <w:t xml:space="preserve">Valg A</w:t>
      </w:r>
      <w:r>
        <w:t xml:space="preserve"> og </w:t>
      </w:r>
      <w:r>
        <w:rPr>
          <w:b/>
          <w:bCs/>
        </w:rPr>
        <w:t xml:space="preserve">Valg B</w:t>
      </w:r>
      <w:r>
        <w:t xml:space="preserve">), beholder I den mulighed, der passer, og sletter resten.</w:t>
      </w:r>
    </w:p>
    <w:p>
      <w:pPr>
        <w:pStyle w:val="ListParagraph"/>
        <w:numPr>
          <w:ilvl w:val="0"/>
          <w:numId w:val="2"/>
        </w:numPr>
      </w:pPr>
      <w:r>
        <w:t xml:space="preserve">Bilagene er lige så vigtige som selve aftaleteksten. Det Europæiske Databeskyttelsesråd (EDPB) forventer, at aftalen konkret beskriver, hvordan kravene opfyldes, og ikke blot gentager forordningens ordlyd.</w:t>
      </w:r>
    </w:p>
    <w:p>
      <w:pPr>
        <w:pStyle w:val="ListParagraph"/>
        <w:numPr>
          <w:ilvl w:val="0"/>
          <w:numId w:val="2"/>
        </w:numPr>
      </w:pPr>
      <w:r>
        <w:t xml:space="preserve">Sikkerhedsforanstaltningerne i bilag 2 skal bygge på institutionens egen risikovurdering af behandlingen.</w:t>
      </w:r>
    </w:p>
    <w:p>
      <w:pPr>
        <w:pStyle w:val="ListParagraph"/>
        <w:numPr>
          <w:ilvl w:val="0"/>
          <w:numId w:val="2"/>
        </w:numPr>
      </w:pPr>
      <w:r>
        <w:t xml:space="preserve">Slet denne vejledning og bemærkningen ovenfor, før aftalen sendes til leverandøren.</w:t>
      </w:r>
    </w:p>
    <w:p>
      <w:pPr>
        <w:pStyle w:val="Heading1"/>
      </w:pPr>
      <w:r>
        <w:t xml:space="preserve">Databehandleraftale</w:t>
      </w:r>
    </w:p>
    <w:p>
      <w:pPr>
        <w:spacing w:after="120"/>
      </w:pPr>
      <w:r>
        <w:t xml:space="preserve">Aftalen er indgået mellem:</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527"/>
        <w:gridCol w:w="3249"/>
        <w:gridCol w:w="3249"/>
      </w:tblGrid>
      <w:tr>
        <w:trPr>
          <w:tblHeader/>
        </w:trPr>
        <w:tc>
          <w:tcPr>
            <w:tcW w:type="dxa" w:w="252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tc>
        <w:tc>
          <w:tcPr>
            <w:tcW w:type="dxa" w:w="3249"/>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Dataansvarlig</w:t>
            </w:r>
          </w:p>
        </w:tc>
        <w:tc>
          <w:tcPr>
            <w:tcW w:type="dxa" w:w="3249"/>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Databehandler</w:t>
            </w:r>
          </w:p>
        </w:tc>
      </w:tr>
      <w:tr>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Navn</w:t>
            </w:r>
          </w:p>
        </w:tc>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[Universitetets eller professionshøjskolens navn]</w:t>
            </w:r>
          </w:p>
        </w:tc>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[Leverandørens navn]</w:t>
            </w:r>
          </w:p>
        </w:tc>
      </w:tr>
      <w:tr>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CVR-nr.</w:t>
            </w:r>
          </w:p>
        </w:tc>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[CVR-nr.]</w:t>
            </w:r>
          </w:p>
        </w:tc>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[CVR-nr. eller udenlandsk registreringsnummer]</w:t>
            </w:r>
          </w:p>
        </w:tc>
      </w:tr>
      <w:tr>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Adresse</w:t>
            </w:r>
          </w:p>
        </w:tc>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[adresse]</w:t>
            </w:r>
          </w:p>
        </w:tc>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[adresse]</w:t>
            </w:r>
          </w:p>
        </w:tc>
      </w:tr>
      <w:tr>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Kontaktperson for aftalen</w:t>
            </w:r>
          </w:p>
        </w:tc>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[navn, e-mail]</w:t>
            </w:r>
          </w:p>
        </w:tc>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[navn, e-mail]</w:t>
            </w:r>
          </w:p>
        </w:tc>
      </w:tr>
    </w:tbl>
    <w:p/>
    <w:p>
      <w:pPr>
        <w:spacing w:after="120"/>
      </w:pPr>
      <w:r>
        <w:t xml:space="preserve">herefter ”den Dataansvarlige” og ”Databehandleren”, og samlet ”Parterne”.</w:t>
      </w:r>
    </w:p>
    <w:p>
      <w:pPr>
        <w:pStyle w:val="Heading2"/>
      </w:pPr>
      <w:r>
        <w:t xml:space="preserve">1. Baggrund og formål</w:t>
      </w:r>
    </w:p>
    <w:p>
      <w:pPr>
        <w:spacing w:after="120"/>
      </w:pPr>
      <w:r>
        <w:t xml:space="preserve">1.1 Parterne har indgået </w:t>
      </w:r>
      <w:r>
        <w:rPr>
          <w:highlight w:val="yellow"/>
          <w:highlightCs w:val="yellow"/>
        </w:rPr>
        <w:t xml:space="preserve">[hovedaftalens titel og dato]</w:t>
      </w:r>
      <w:r>
        <w:t xml:space="preserve"> (”Hovedaftalen”) om levering af </w:t>
      </w:r>
      <w:r>
        <w:rPr>
          <w:highlight w:val="yellow"/>
          <w:highlightCs w:val="yellow"/>
        </w:rPr>
        <w:t xml:space="preserve">[kort beskrivelse af tjenesten]</w:t>
      </w:r>
      <w:r>
        <w:t xml:space="preserve">. I forbindelse med opfyldelsen af Hovedaftalen behandler Databehandleren personoplysninger på vegne af den Dataansvarlige.</w:t>
      </w:r>
    </w:p>
    <w:p>
      <w:pPr>
        <w:spacing w:after="120"/>
      </w:pPr>
      <w:r>
        <w:t xml:space="preserve">1.2 Aftalen skal sikre, at behandlingen sker i overensstemmelse med databeskyttelsesforordningen (forordning (EU) 2016/679), databeskyttelsesloven og anden gældende databeskyttelseslovgivning. Aftalen opfylder kravene i databeskyttelsesforordningens artikel 28, stk. 3.</w:t>
      </w:r>
    </w:p>
    <w:p>
      <w:pPr>
        <w:pStyle w:val="Heading2"/>
      </w:pPr>
      <w:r>
        <w:t xml:space="preserve">2. Definitioner</w:t>
      </w:r>
    </w:p>
    <w:p>
      <w:pPr>
        <w:spacing w:after="120"/>
      </w:pPr>
      <w:r>
        <w:t xml:space="preserve">Begreberne i aftalen har samme betydning som i databeskyttelsesforordningens artikel 4, herunder ”personoplysninger”, ”behandling”, ”dataansvarlig”, ”databehandler” og ”brud på persondatasikkerheden”. Desuden forstås ved:</w:t>
      </w:r>
    </w:p>
    <w:p>
      <w:pPr>
        <w:pStyle w:val="ListParagraph"/>
        <w:numPr>
          <w:ilvl w:val="0"/>
          <w:numId w:val="2"/>
        </w:numPr>
      </w:pPr>
      <w:r>
        <w:rPr>
          <w:b/>
          <w:bCs/>
        </w:rPr>
        <w:t xml:space="preserve">Underdatabehandler:</w:t>
      </w:r>
      <w:r>
        <w:t xml:space="preserve"> en anden databehandler, som Databehandleren gør brug af til at udføre behandling på vegne af den Dataansvarlige.</w:t>
      </w:r>
    </w:p>
    <w:p>
      <w:pPr>
        <w:pStyle w:val="ListParagraph"/>
        <w:numPr>
          <w:ilvl w:val="0"/>
          <w:numId w:val="2"/>
        </w:numPr>
      </w:pPr>
      <w:r>
        <w:rPr>
          <w:b/>
          <w:bCs/>
        </w:rPr>
        <w:t xml:space="preserve">Tredjeland:</w:t>
      </w:r>
      <w:r>
        <w:t xml:space="preserve"> et land uden for EU/EØS.</w:t>
      </w:r>
    </w:p>
    <w:p>
      <w:pPr>
        <w:pStyle w:val="ListParagraph"/>
        <w:numPr>
          <w:ilvl w:val="0"/>
          <w:numId w:val="2"/>
        </w:numPr>
      </w:pPr>
      <w:r>
        <w:rPr>
          <w:b/>
          <w:bCs/>
        </w:rPr>
        <w:t xml:space="preserve">Gældende databeskyttelseslovgivning:</w:t>
      </w:r>
      <w:r>
        <w:t xml:space="preserve"> databeskyttelsesforordningen, databeskyttelsesloven og anden lovgivning om behandling af personoplysninger, som gælder for behandlingen.</w:t>
      </w:r>
    </w:p>
    <w:p>
      <w:pPr>
        <w:pStyle w:val="Heading2"/>
      </w:pPr>
      <w:r>
        <w:t xml:space="preserve">3. Behandlingen</w:t>
      </w:r>
    </w:p>
    <w:p>
      <w:pPr>
        <w:spacing w:after="120"/>
      </w:pPr>
      <w:r>
        <w:t xml:space="preserve">3.1 Behandlingens genstand og varighed, dens karakter og formål, typen af personoplysninger og kategorierne af registrerede fremgår af bilag 1.</w:t>
      </w:r>
    </w:p>
    <w:p>
      <w:pPr>
        <w:spacing w:after="120"/>
      </w:pPr>
      <w:r>
        <w:t xml:space="preserve">3.2 Databehandleren må ikke behandle personoplysningerne til andre formål end dem, der fremgår af bilag 1. Databehandleren må hverken bruge personoplysningerne eller data afledt af dem til egen produktudvikling, analyse, markedsføring eller træning af modeller til kunstig intelligens, medmindre den Dataansvarlige udtrykkeligt og skriftligt har instrueret om det.</w:t>
      </w:r>
    </w:p>
    <w:p>
      <w:pPr>
        <w:pStyle w:val="Heading2"/>
      </w:pPr>
      <w:r>
        <w:t xml:space="preserve">4. Den Dataansvarliges rettigheder og forpligtelser</w:t>
      </w:r>
    </w:p>
    <w:p>
      <w:pPr>
        <w:spacing w:after="120"/>
      </w:pPr>
      <w:r>
        <w:t xml:space="preserve">4.1 Den Dataansvarlige er ansvarlig for, at der er et behandlingsgrundlag for den behandling, Databehandleren instrueres i at foretage, og for at de registrerede bliver oplyst om behandlingen.</w:t>
      </w:r>
    </w:p>
    <w:p>
      <w:pPr>
        <w:spacing w:after="120"/>
      </w:pPr>
      <w:r>
        <w:t xml:space="preserve">4.2 Den Dataansvarlige har ret og pligt til at give Databehandleren instrukser om behandlingen og kan føre tilsyn med, at Databehandleren overholder aftalen, jf. punkt 13.</w:t>
      </w:r>
    </w:p>
    <w:p>
      <w:pPr>
        <w:pStyle w:val="Heading2"/>
      </w:pPr>
      <w:r>
        <w:t xml:space="preserve">5. Instruks</w:t>
      </w:r>
    </w:p>
    <w:p>
      <w:pPr>
        <w:spacing w:after="120"/>
      </w:pPr>
      <w:r>
        <w:t xml:space="preserve">5.1 Databehandleren må kun behandle personoplysningerne efter dokumenteret instruks fra den Dataansvarlige, også for så vidt angår overførsel til tredjelande. Instruksen ved aftalens indgåelse fremgår af denne aftale og bilag 1. Nye eller ændrede instrukser gives skriftligt til Databehandlerens kontaktpunkt i bilag 5, og Databehandleren opbevarer dem sammen med aftalen, så længe den gælder.</w:t>
      </w:r>
    </w:p>
    <w:p>
      <w:pPr>
        <w:spacing w:after="120"/>
      </w:pPr>
      <w:r>
        <w:t xml:space="preserve">5.2 Er Databehandleren efter EU-retten eller national ret forpligtet til at behandle personoplysningerne ud over instruksen, skal Databehandleren underrette den Dataansvarlige om dette retlige krav, inden behandlingen påbegyndes, medmindre den pågældende ret forbyder en sådan underretning af hensyn til vigtige samfundsmæssige interesser.</w:t>
      </w:r>
    </w:p>
    <w:p>
      <w:pPr>
        <w:spacing w:after="120"/>
      </w:pPr>
      <w:r>
        <w:t xml:space="preserve">5.3 Databehandleren underretter omgående den Dataansvarlige, hvis en instruks efter Databehandlerens opfattelse er i strid med gældende databeskyttelseslovgivning. Databehandleren kan udsætte gennemførelsen af den pågældende instruks, indtil den Dataansvarlige har bekræftet, ændret eller tilbagekaldt den.</w:t>
      </w:r>
    </w:p>
    <w:p>
      <w:pPr>
        <w:pStyle w:val="Heading2"/>
      </w:pPr>
      <w:r>
        <w:t xml:space="preserve">6. Fortrolighed og adgangsstyring</w:t>
      </w:r>
    </w:p>
    <w:p>
      <w:pPr>
        <w:spacing w:after="120"/>
      </w:pPr>
      <w:r>
        <w:t xml:space="preserve">6.1 Databehandleren sikrer, at de personer, der er autoriseret til at behandle personoplysningerne, har forpligtet sig til fortrolighed eller er underlagt en passende lovbestemt tavshedspligt. Forpligtelsen gælder også efter ansættelsens eller opgavens ophør.</w:t>
      </w:r>
    </w:p>
    <w:p>
      <w:pPr>
        <w:spacing w:after="120"/>
      </w:pPr>
      <w:r>
        <w:t xml:space="preserve">6.2 Adgang til personoplysningerne gives kun til personer, der har brug for den for at udføre opgaven efter Hovedaftalen. Tildelte adgange gennemgås jævnligt og lukkes, når de ikke længere er nødvendige. Databehandleren skal på anmodning kunne dokumentere, at de pågældende personer er underlagt tavshedspligt.</w:t>
      </w:r>
    </w:p>
    <w:p>
      <w:pPr>
        <w:pStyle w:val="Heading2"/>
      </w:pPr>
      <w:r>
        <w:t xml:space="preserve">7. Behandlingssikkerhed</w:t>
      </w:r>
    </w:p>
    <w:p>
      <w:pPr>
        <w:spacing w:after="120"/>
      </w:pPr>
      <w:r>
        <w:t xml:space="preserve">7.1 Databehandleren iværksætter alle foranstaltninger, som kræves efter databeskyttelsesforordningens artikel 32, og gennemfører som minimum foranstaltningerne i bilag 2.</w:t>
      </w:r>
    </w:p>
    <w:p>
      <w:pPr>
        <w:spacing w:after="120"/>
      </w:pPr>
      <w:r>
        <w:t xml:space="preserve">7.2 Databehandleren afprøver, vurderer og evaluerer regelmæssigt foranstaltningernes effektivitet. Ændringer, der kan sænke sikkerhedsniveauet, kræver den Dataansvarliges forudgående skriftlige godkendelse.</w:t>
      </w:r>
    </w:p>
    <w:p>
      <w:pPr>
        <w:spacing w:after="120"/>
      </w:pPr>
      <w:r>
        <w:t xml:space="preserve">7.3 Databehandleren bistår den Dataansvarlige med at overholde artikel 32, blandt andet ved at stille de oplysninger til rådighed, som den Dataansvarlige har brug for til sin risikovurdering.</w:t>
      </w:r>
    </w:p>
    <w:p>
      <w:pPr>
        <w:pStyle w:val="Heading2"/>
      </w:pPr>
      <w:r>
        <w:t xml:space="preserve">8. Brud på persondatasikkerheden</w:t>
      </w:r>
    </w:p>
    <w:p>
      <w:pPr>
        <w:spacing w:after="120"/>
      </w:pPr>
      <w:r>
        <w:t xml:space="preserve">8.1 Databehandleren underretter den Dataansvarlige uden unødig forsinkelse og senest </w:t>
      </w:r>
      <w:r>
        <w:rPr>
          <w:highlight w:val="yellow"/>
          <w:highlightCs w:val="yellow"/>
        </w:rPr>
        <w:t xml:space="preserve">[24]</w:t>
      </w:r>
      <w:r>
        <w:t xml:space="preserve"> timer efter at være blevet opmærksom på et brud på persondatasikkerheden, der berører personoplysninger omfattet af aftalen. Det gælder også brud hos en underdatabehandler. Underretningen sendes til kontaktpunktet i bilag 5.</w:t>
      </w:r>
    </w:p>
    <w:p>
      <w:pPr>
        <w:spacing w:after="120"/>
      </w:pPr>
      <w:r>
        <w:t xml:space="preserve">8.2 Underretningen skal så vidt muligt beskrive bruddets karakter, kategorierne og det omtrentlige antal berørte registrerede og registreringer, de sandsynlige konsekvenser og de foranstaltninger, der er truffet eller foreslås. Oplysninger, som ikke foreligger ved den første underretning, gives trinvist uden yderligere unødig forsinkelse.</w:t>
      </w:r>
    </w:p>
    <w:p>
      <w:pPr>
        <w:spacing w:after="120"/>
      </w:pPr>
      <w:r>
        <w:t xml:space="preserve">8.3 Databehandleren bistår den Dataansvarlige med anmeldelse til Datatilsynet og eventuel underretning af de registrerede efter artikel 33 og 34 og dokumenterer bruddet og de trufne foranstaltninger.</w:t>
      </w:r>
    </w:p>
    <w:p>
      <w:pPr>
        <w:pStyle w:val="Heading2"/>
      </w:pPr>
      <w:r>
        <w:t xml:space="preserve">9. Underdatabehandlere</w:t>
      </w:r>
    </w:p>
    <w:p>
      <w:pPr>
        <w:spacing w:after="120"/>
      </w:pPr>
      <w:r>
        <w:t xml:space="preserve">9.1 Databehandleren må ikke gøre brug af en underdatabehandler uden den Dataansvarliges forudgående skriftlige godkendelse. De underdatabehandlere, der er godkendt ved aftalens indgåelse, fremgår af bilag 3.</w:t>
      </w:r>
    </w:p>
    <w:p>
      <w:pPr>
        <w:spacing w:after="120"/>
      </w:pPr>
      <w:r>
        <w:rPr>
          <w:b/>
          <w:bCs/>
        </w:rPr>
        <w:t xml:space="preserve">Valg A: specifik godkendelse.</w:t>
      </w:r>
      <w:r>
        <w:t xml:space="preserve"> 9.2 Databehandleren anmoder skriftligt om godkendelse, før en ny underdatabehandler tages i brug, eller en eksisterende udskiftes. Anmodningen skal indeholde navn, adresse, hvilken behandling underdatabehandleren skal udføre, hvor behandlingen sker, og et eventuelt overførselsgrundlag. Har den Dataansvarlige ikke svaret inden </w:t>
      </w:r>
      <w:r>
        <w:rPr>
          <w:highlight w:val="yellow"/>
          <w:highlightCs w:val="yellow"/>
        </w:rPr>
        <w:t xml:space="preserve">[30]</w:t>
      </w:r>
      <w:r>
        <w:t xml:space="preserve"> dage, anses anmodningen for afslået.</w:t>
      </w:r>
    </w:p>
    <w:p>
      <w:pPr>
        <w:spacing w:after="120"/>
      </w:pPr>
      <w:r>
        <w:rPr>
          <w:b/>
          <w:bCs/>
        </w:rPr>
        <w:t xml:space="preserve">Valg B: generel godkendelse.</w:t>
      </w:r>
      <w:r>
        <w:t xml:space="preserve"> 9.2 Den Dataansvarlige giver generel godkendelse til brug af underdatabehandlere, der opfylder kravene i denne aftale. Databehandleren skal aktivt og skriftligt underrette den Dataansvarlige mindst </w:t>
      </w:r>
      <w:r>
        <w:rPr>
          <w:highlight w:val="yellow"/>
          <w:highlightCs w:val="yellow"/>
        </w:rPr>
        <w:t xml:space="preserve">[30]</w:t>
      </w:r>
      <w:r>
        <w:t xml:space="preserve"> dage, før en ny underdatabehandler tages i brug, eller en eksisterende udskiftes, med de oplysninger, der er nævnt under Valg A. Offentliggørelse af en opdateret liste på Databehandlerens hjemmeside er ikke tilstrækkelig underretning. Den Dataansvarlige kan gøre indsigelse inden fristens udløb. Gør den Dataansvarlige indsigelse, forsøger Parterne at finde en løsning. Er der ikke fundet en løsning inden </w:t>
      </w:r>
      <w:r>
        <w:rPr>
          <w:highlight w:val="yellow"/>
          <w:highlightCs w:val="yellow"/>
        </w:rPr>
        <w:t xml:space="preserve">[30]</w:t>
      </w:r>
      <w:r>
        <w:t xml:space="preserve"> dage, kan den Dataansvarlige opsige den berørte del af Hovedaftalen uden omkostninger.</w:t>
      </w:r>
    </w:p>
    <w:p>
      <w:pPr>
        <w:spacing w:after="120"/>
      </w:pPr>
      <w:r>
        <w:t xml:space="preserve">9.3 Databehandleren indgår en skriftlig aftale med hver underdatabehandler, som pålægger underdatabehandleren de samme databeskyttelsesforpligtelser som dem, der følger af denne aftale, herunder retten til revision efter punkt 13. Databehandleren sender efter anmodning den Dataansvarlige en kopi af de databeskyttelsesretlige dele af aftalen.</w:t>
      </w:r>
    </w:p>
    <w:p>
      <w:pPr>
        <w:spacing w:after="120"/>
      </w:pPr>
      <w:r>
        <w:t xml:space="preserve">9.4 Databehandleren fører tilsyn med sine underdatabehandlere og sender efter anmodning dokumentation for tilsynet til den Dataansvarlige.</w:t>
      </w:r>
    </w:p>
    <w:p>
      <w:pPr>
        <w:spacing w:after="120"/>
      </w:pPr>
      <w:r>
        <w:t xml:space="preserve">9.5 Opfylder en underdatabehandler ikke sine databeskyttelsesforpligtelser, forbliver Databehandleren fuldt ansvarlig over for den Dataansvarlige for opfyldelsen af underdatabehandlerens forpligtelser.</w:t>
      </w:r>
    </w:p>
    <w:p>
      <w:pPr>
        <w:pStyle w:val="Heading2"/>
      </w:pPr>
      <w:r>
        <w:t xml:space="preserve">10. Overførsel til tredjelande</w:t>
      </w:r>
    </w:p>
    <w:p>
      <w:pPr>
        <w:spacing w:after="120"/>
      </w:pPr>
      <w:r>
        <w:t xml:space="preserve">10.1 Personoplysningerne behandles og opbevares inden for EU/EØS, medmindre den Dataansvarlige skriftligt har godkendt overførsel til et tredjeland. Godkendte overførsler fremgår af bilag 4 med modtager, land og overførselsgrundlag. Adgang fra et tredjeland, fx i forbindelse med support eller drift, anses for en overførsel.</w:t>
      </w:r>
    </w:p>
    <w:p>
      <w:pPr>
        <w:spacing w:after="120"/>
      </w:pPr>
      <w:r>
        <w:t xml:space="preserve">10.2 Overførsel må kun ske, hvis der foreligger et gyldigt grundlag efter databeskyttelsesforordningens kapitel V, fx en afgørelse om tilstrækkeligt beskyttelsesniveau eller EU-Kommissionens standardkontraktbestemmelser. Anvendes standardkontraktbestemmelser, giver Databehandleren efter anmodning den Dataansvarlige sin vurdering af lovgivning og praksis i modtagerlandet og en beskrivelse af eventuelle supplerende foranstaltninger.</w:t>
      </w:r>
    </w:p>
    <w:p>
      <w:pPr>
        <w:spacing w:after="120"/>
      </w:pPr>
      <w:r>
        <w:t xml:space="preserve">10.3 Databehandleren underretter den Dataansvarlige uden unødig forsinkelse, hvis grundlaget for en overførsel bortfalder eller ændres, fx fordi en afgørelse om tilstrækkeligt beskyttelsesniveau ophæves, eller en modtager ikke længere er certificeret.</w:t>
      </w:r>
    </w:p>
    <w:p>
      <w:pPr>
        <w:pStyle w:val="Heading2"/>
      </w:pPr>
      <w:r>
        <w:t xml:space="preserve">11. Bistand vedrørende de registreredes rettigheder</w:t>
      </w:r>
    </w:p>
    <w:p>
      <w:pPr>
        <w:spacing w:after="120"/>
      </w:pPr>
      <w:r>
        <w:t xml:space="preserve">11.1 Databehandleren bistår, under hensyntagen til behandlingens karakter og så vidt muligt, den Dataansvarlige ved hjælp af passende tekniske og organisatoriske foranstaltninger med at besvare anmodninger fra de registrerede efter databeskyttelsesforordningens kapitel III, herunder om indsigt, berigtigelse, sletning, begrænsning, dataportabilitet og indsigelse.</w:t>
      </w:r>
    </w:p>
    <w:p>
      <w:pPr>
        <w:spacing w:after="120"/>
      </w:pPr>
      <w:r>
        <w:t xml:space="preserve">11.2 Modtager Databehandleren en sådan anmodning direkte, videresendes den til den Dataansvarlige inden </w:t>
      </w:r>
      <w:r>
        <w:rPr>
          <w:highlight w:val="yellow"/>
          <w:highlightCs w:val="yellow"/>
        </w:rPr>
        <w:t xml:space="preserve">[2]</w:t>
      </w:r>
      <w:r>
        <w:t xml:space="preserve"> arbejdsdage. Databehandleren besvarer ikke selv anmodningen uden instruks.</w:t>
      </w:r>
    </w:p>
    <w:p>
      <w:pPr>
        <w:pStyle w:val="Heading2"/>
      </w:pPr>
      <w:r>
        <w:t xml:space="preserve">12. Bistand vedrørende artikel 32-36</w:t>
      </w:r>
    </w:p>
    <w:p>
      <w:pPr>
        <w:spacing w:after="120"/>
      </w:pPr>
      <w:r>
        <w:t xml:space="preserve">Databehandleren bistår, under hensyntagen til behandlingens karakter og de oplysninger, der er tilgængelige for Databehandleren, den Dataansvarlige med at overholde forpligtelserne i databeskyttelsesforordningens artikel 32-36. Det omfatter blandt andet oplysninger og bistand til konsekvensanalyser vedrørende databeskyttelse og eventuelle forudgående høringer af Datatilsynet. Bistanden afregnes </w:t>
      </w:r>
      <w:r>
        <w:rPr>
          <w:highlight w:val="yellow"/>
          <w:highlightCs w:val="yellow"/>
        </w:rPr>
        <w:t xml:space="preserve">[efter Hovedaftalens timepriser / er indeholdt i prisen]</w:t>
      </w:r>
      <w:r>
        <w:t xml:space="preserve">.</w:t>
      </w:r>
    </w:p>
    <w:p>
      <w:pPr>
        <w:pStyle w:val="Heading2"/>
      </w:pPr>
      <w:r>
        <w:t xml:space="preserve">13. Dokumentation, revision og inspektion</w:t>
      </w:r>
    </w:p>
    <w:p>
      <w:pPr>
        <w:spacing w:after="120"/>
      </w:pPr>
      <w:r>
        <w:t xml:space="preserve">13.1 Databehandleren stiller alle oplysninger til rådighed, som er nødvendige for at påvise, at forpligtelserne i denne aftale og i artikel 28 er overholdt, herunder relevante dele af Databehandlerens fortegnelse over behandlingsaktiviteter, en beskrivelse af systemer og sikkerhedsforanstaltninger, opbevaringssteder, underdatabehandlere og overførsler.</w:t>
      </w:r>
    </w:p>
    <w:p>
      <w:pPr>
        <w:spacing w:after="120"/>
      </w:pPr>
      <w:r>
        <w:t xml:space="preserve">13.2 Databehandleren giver mulighed for og bidrager til revisioner, herunder inspektioner, som foretages af den Dataansvarlige eller en anden revisor, som den Dataansvarlige har bemyndiget. Revision varsles med mindst </w:t>
      </w:r>
      <w:r>
        <w:rPr>
          <w:highlight w:val="yellow"/>
          <w:highlightCs w:val="yellow"/>
        </w:rPr>
        <w:t xml:space="preserve">[30]</w:t>
      </w:r>
      <w:r>
        <w:t xml:space="preserve"> dage, medmindre der er sket et brud på persondatasikkerheden, eller der er konkret mistanke om misligholdelse. Uafhængige revisionserklæringer og certificeringer kan indgå i dokumentationen, men begrænser ikke den Dataansvarliges ret til revision.</w:t>
      </w:r>
    </w:p>
    <w:p>
      <w:pPr>
        <w:spacing w:after="120"/>
      </w:pPr>
      <w:r>
        <w:t xml:space="preserve">13.3 Hver part afholder egne omkostninger ved revision. Databehandleren kan ikke kræve gebyrer, der er uforholdsmæssige eller har afskrækkende virkning. Afdækker revisionen væsentlige mangler, afholder Databehandleren omkostningerne ved revisionen og udbedrer manglerne uden unødig forsinkelse.</w:t>
      </w:r>
    </w:p>
    <w:p>
      <w:pPr>
        <w:pStyle w:val="Heading2"/>
      </w:pPr>
      <w:r>
        <w:t xml:space="preserve">14. Anmodninger fra myndigheder om udlevering</w:t>
      </w:r>
    </w:p>
    <w:p>
      <w:pPr>
        <w:spacing w:after="120"/>
      </w:pPr>
      <w:r>
        <w:t xml:space="preserve">Modtager Databehandleren eller en underdatabehandler en anmodning fra en offentlig myndighed om udlevering af personoplysninger omfattet af aftalen, underretter Databehandleren straks den Dataansvarlige, i det omfang loven tillader det, vurderer anmodningens lovlighed og udleverer ikke mere end strengt nødvendigt.</w:t>
      </w:r>
    </w:p>
    <w:p>
      <w:pPr>
        <w:pStyle w:val="Heading2"/>
      </w:pPr>
      <w:r>
        <w:t xml:space="preserve">15. Sletning og tilbagelevering</w:t>
      </w:r>
    </w:p>
    <w:p>
      <w:pPr>
        <w:spacing w:after="120"/>
      </w:pPr>
      <w:r>
        <w:t xml:space="preserve">15.1 Når tjenesterne vedrørende behandling ophører, sletter eller tilbageleverer Databehandleren efter den Dataansvarliges valg alle personoplysningerne og sletter eksisterende kopier, medmindre EU-retten eller national ret foreskriver opbevaring. Den Dataansvarlige kan ændre sit valg, indtil aftalen ophører.</w:t>
      </w:r>
    </w:p>
    <w:p>
      <w:pPr>
        <w:spacing w:after="120"/>
      </w:pPr>
      <w:r>
        <w:t xml:space="preserve">15.2 Tilbagelevering sker i formatet </w:t>
      </w:r>
      <w:r>
        <w:rPr>
          <w:highlight w:val="yellow"/>
          <w:highlightCs w:val="yellow"/>
        </w:rPr>
        <w:t xml:space="preserve">[fx CSV eller JSON]</w:t>
      </w:r>
      <w:r>
        <w:t xml:space="preserve"> inden </w:t>
      </w:r>
      <w:r>
        <w:rPr>
          <w:highlight w:val="yellow"/>
          <w:highlightCs w:val="yellow"/>
        </w:rPr>
        <w:t xml:space="preserve">[30]</w:t>
      </w:r>
      <w:r>
        <w:t xml:space="preserve"> dage. Sletning sker på en sikker måde inden </w:t>
      </w:r>
      <w:r>
        <w:rPr>
          <w:highlight w:val="yellow"/>
          <w:highlightCs w:val="yellow"/>
        </w:rPr>
        <w:t xml:space="preserve">[30]</w:t>
      </w:r>
      <w:r>
        <w:t xml:space="preserve"> dage og i sikkerhedskopier inden </w:t>
      </w:r>
      <w:r>
        <w:rPr>
          <w:highlight w:val="yellow"/>
          <w:highlightCs w:val="yellow"/>
        </w:rPr>
        <w:t xml:space="preserve">[90]</w:t>
      </w:r>
      <w:r>
        <w:t xml:space="preserve"> dage. Databehandleren bekræfter skriftligt, at sletningen er gennemført.</w:t>
      </w:r>
    </w:p>
    <w:p>
      <w:pPr>
        <w:spacing w:after="120"/>
      </w:pPr>
      <w:r>
        <w:t xml:space="preserve">15.3 Er Databehandleren efter lovgivningen forpligtet til at opbevare oplysninger, oplyser Databehandleren hjemlen, og oplysningerne må kun behandles til dette formål.</w:t>
      </w:r>
    </w:p>
    <w:p>
      <w:pPr>
        <w:pStyle w:val="Heading2"/>
      </w:pPr>
      <w:r>
        <w:t xml:space="preserve">16. Ikrafttræden og ophør</w:t>
      </w:r>
    </w:p>
    <w:p>
      <w:pPr>
        <w:spacing w:after="120"/>
      </w:pPr>
      <w:r>
        <w:t xml:space="preserve">16.1 Aftalen træder i kraft ved begge Parters underskrift og gælder, så længe Databehandleren behandler personoplysninger på vegne af den Dataansvarlige, uanset om Hovedaftalen er ophørt.</w:t>
      </w:r>
    </w:p>
    <w:p>
      <w:pPr>
        <w:spacing w:after="120"/>
      </w:pPr>
      <w:r>
        <w:t xml:space="preserve">16.2 Ved væsentlig misligholdelse af denne aftale eller af gældende databeskyttelseslovgivning kan den Dataansvarlige pålægge Databehandleren straks at standse behandlingen. Den Dataansvarlige kan desuden ophæve Hovedaftalen helt eller delvist med øjeblikkelig virkning.</w:t>
      </w:r>
    </w:p>
    <w:p>
      <w:pPr>
        <w:pStyle w:val="Heading2"/>
      </w:pPr>
      <w:r>
        <w:t xml:space="preserve">17. Ansvar</w:t>
      </w:r>
    </w:p>
    <w:p>
      <w:pPr>
        <w:spacing w:after="120"/>
      </w:pPr>
      <w:r>
        <w:t xml:space="preserve">Parternes ansvar for overtrædelse af denne aftale reguleres af Hovedaftalen, medmindre andet følger af databeskyttelsesforordningens artikel 82 eller ufravigelig lovgivning. Ansvarsbegrænsninger i Hovedaftalen gælder </w:t>
      </w:r>
      <w:r>
        <w:rPr>
          <w:highlight w:val="yellow"/>
          <w:highlightCs w:val="yellow"/>
        </w:rPr>
        <w:t xml:space="preserve">[ikke / kun med følgende undtagelser: ...]</w:t>
      </w:r>
      <w:r>
        <w:t xml:space="preserve"> for overtrædelse af denne aftale.</w:t>
      </w:r>
    </w:p>
    <w:p>
      <w:pPr>
        <w:pStyle w:val="Heading2"/>
      </w:pPr>
      <w:r>
        <w:t xml:space="preserve">18. Forholdet til andre aftaler</w:t>
      </w:r>
    </w:p>
    <w:p>
      <w:pPr>
        <w:spacing w:after="120"/>
      </w:pPr>
      <w:r>
        <w:t xml:space="preserve">Ved modstrid mellem denne aftale og Hovedaftalen, Databehandlerens almindelige vilkår eller andre aftaler mellem Parterne har denne aftale forrang i alle spørgsmål om behandling af personoplysninger.</w:t>
      </w:r>
    </w:p>
    <w:p>
      <w:pPr>
        <w:pStyle w:val="Heading2"/>
      </w:pPr>
      <w:r>
        <w:t xml:space="preserve">19. Ændringer</w:t>
      </w:r>
    </w:p>
    <w:p>
      <w:pPr>
        <w:spacing w:after="120"/>
      </w:pPr>
      <w:r>
        <w:t xml:space="preserve">Ændringer i aftalen og bilagene kræver skriftlig aftale mellem Parterne, herunder ved elektronisk underskrift. Databehandleren kan ikke ændre aftalen ensidigt, fx ved at offentliggøre nye vilkår på sin hjemmeside. Ændringer i bilag 3 og 4 kan dog ske efter fremgangsmåden i punkt 9 og 10. Begge Parter kan kræve aftalen genforhandlet, hvis lovændringer giver anledning til det.</w:t>
      </w:r>
    </w:p>
    <w:p>
      <w:pPr>
        <w:pStyle w:val="Heading2"/>
      </w:pPr>
      <w:r>
        <w:t xml:space="preserve">20. Lovvalg og værneting</w:t>
      </w:r>
    </w:p>
    <w:p>
      <w:pPr>
        <w:spacing w:after="120"/>
      </w:pPr>
      <w:r>
        <w:t xml:space="preserve">Aftalen er underlagt dansk ret. Tvister søges løst ved forhandling. Lykkes det ikke, afgøres tvisten af de almindelige domstole med </w:t>
      </w:r>
      <w:r>
        <w:rPr>
          <w:highlight w:val="yellow"/>
          <w:highlightCs w:val="yellow"/>
        </w:rPr>
        <w:t xml:space="preserve">[retten på den Dataansvarliges hjemsted]</w:t>
      </w:r>
      <w:r>
        <w:t xml:space="preserve"> som værneting.</w:t>
      </w:r>
    </w:p>
    <w:p>
      <w:pPr>
        <w:pStyle w:val="Heading2"/>
      </w:pPr>
      <w:r>
        <w:t xml:space="preserve">Underskrifter</w:t>
      </w:r>
    </w:p>
    <w:p>
      <w:pPr>
        <w:spacing w:after="120"/>
      </w:pPr>
      <w:r>
        <w:t xml:space="preserve">Aftalen underskrives elektronisk eller i to eksemplarer, ét til hver part.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rPr>
          <w:tblHeader/>
        </w:trPr>
        <w:tc>
          <w:tcPr>
            <w:tcW w:type="dxa" w:w="451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For den Dataansvarlige</w:t>
            </w:r>
          </w:p>
        </w:tc>
        <w:tc>
          <w:tcPr>
            <w:tcW w:type="dxa" w:w="451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For Databehandleren</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Sted og dato: </w:t>
            </w:r>
            <w:r>
              <w:rPr>
                <w:highlight w:val="yellow"/>
                <w:highlightCs w:val="yellow"/>
              </w:rPr>
              <w:t xml:space="preserve">[sted, dato]</w:t>
            </w:r>
          </w:p>
        </w:tc>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Sted og dato: </w:t>
            </w:r>
            <w:r>
              <w:rPr>
                <w:highlight w:val="yellow"/>
                <w:highlightCs w:val="yellow"/>
              </w:rPr>
              <w:t xml:space="preserve">[sted, dato]</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Navn: </w:t>
            </w:r>
            <w:r>
              <w:rPr>
                <w:highlight w:val="yellow"/>
                <w:highlightCs w:val="yellow"/>
              </w:rPr>
              <w:t xml:space="preserve">[navn]</w:t>
            </w:r>
          </w:p>
        </w:tc>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Navn: </w:t>
            </w:r>
            <w:r>
              <w:rPr>
                <w:highlight w:val="yellow"/>
                <w:highlightCs w:val="yellow"/>
              </w:rPr>
              <w:t xml:space="preserve">[navn]</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Stilling: </w:t>
            </w:r>
            <w:r>
              <w:rPr>
                <w:highlight w:val="yellow"/>
                <w:highlightCs w:val="yellow"/>
              </w:rPr>
              <w:t xml:space="preserve">[stilling]</w:t>
            </w:r>
          </w:p>
        </w:tc>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Stilling: </w:t>
            </w:r>
            <w:r>
              <w:rPr>
                <w:highlight w:val="yellow"/>
                <w:highlightCs w:val="yellow"/>
              </w:rPr>
              <w:t xml:space="preserve">[stilling]</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Underskrift:</w:t>
            </w:r>
          </w:p>
        </w:tc>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Underskrift:</w:t>
            </w:r>
          </w:p>
        </w:tc>
      </w:tr>
    </w:tbl>
    <w:p/>
    <w:p>
      <w:pPr>
        <w:pStyle w:val="Heading1"/>
      </w:pPr>
      <w:r>
        <w:t xml:space="preserve">Bilag 1: Oplysninger om behandlingen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888"/>
        <w:gridCol w:w="6138"/>
      </w:tblGrid>
      <w:tr>
        <w:trPr>
          <w:tblHeader/>
        </w:trPr>
        <w:tc>
          <w:tcPr>
            <w:tcW w:type="dxa" w:w="2888"/>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Punkt</w:t>
            </w:r>
          </w:p>
        </w:tc>
        <w:tc>
          <w:tcPr>
            <w:tcW w:type="dxa" w:w="6138"/>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Beskrivelse</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Tjeneste</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[Tjenestens navn, version og abonnement, fx uddannelseslicens]</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Behandlingens genstand</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[Hvad behandlingen angår, fx opbevaring og analyse af besvarelser fra spørgeskemaundersøgelser i forskningsprojekter]</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Formål</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[Hvorfor institutionen bruger tjenesten]</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Behandlingens karakter</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[Behandlingsaktiviteter: indsamling, opbevaring, transskribering, analyse, generering af tekst, sikkerhedskopiering, support, sletning]</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Kategorier af registrerede</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[Studerende / ansatte / forsøgspersoner og andre forskningsdeltagere / eksterne gæster / andre]</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Typer af personoplysninger</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[Navn, e-mail, brugernavn, IP-adresse, indhold i dokumenter og samtaler, lydoptagelser, besvarelser]</w:t>
            </w:r>
            <w:r>
              <w:t xml:space="preserve">. Angiv for hver kategori af registrerede, hvilke oplysninger der behandles.</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Særlige kategorier (art. 9) og oplysninger om strafbare forhold (art. 10)</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[Ingen / beskriv konkret, fx helbredsoplysninger i forskningsdata]</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Personnummer (CPR-nr.)</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[Behandles ikke / behandles til følgende formål: ...]</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Varighed</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[Fra dato til Hovedaftalens ophør, eller kriterier for varigheden]</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Opbevaringsperiode hos Databehandleren</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[Fx så længe kontoen er aktiv, derefter sletning efter punkt 15]</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Lokalitet for behandlingen</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[Land og datacentre, hvor data opbevares og behandles]</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Særlige instrukser</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[Fx ingen brug til træning af AI-modeller, logning af administratoradgang, krav om login via institutionens identitetsløsning]</w:t>
            </w:r>
          </w:p>
        </w:tc>
      </w:tr>
    </w:tbl>
    <w:p/>
    <w:p>
      <w:pPr>
        <w:pStyle w:val="Heading1"/>
      </w:pPr>
      <w:r>
        <w:t xml:space="preserve">Bilag 2: Sikkerhedsforanstaltninger</w:t>
      </w:r>
    </w:p>
    <w:p>
      <w:pPr>
        <w:spacing w:after="120"/>
      </w:pPr>
      <w:r>
        <w:t xml:space="preserve">Foranstaltningerne skal bygge på den Dataansvarliges risikovurdering. Beskriv konkrete foranstaltninger og ikke kun henvisninger til ”branchestandard”.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888"/>
        <w:gridCol w:w="6138"/>
      </w:tblGrid>
      <w:tr>
        <w:trPr>
          <w:tblHeader/>
        </w:trPr>
        <w:tc>
          <w:tcPr>
            <w:tcW w:type="dxa" w:w="2888"/>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Område</w:t>
            </w:r>
          </w:p>
        </w:tc>
        <w:tc>
          <w:tcPr>
            <w:tcW w:type="dxa" w:w="6138"/>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Foranstaltning</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Ledelsessystem og certificering</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[Fx ISO/IEC 27001 med omfang og certificeringsorgan, ISAE 3000- eller SOC 2-erklæring, dato for seneste erklæring]</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Adgangsstyring</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[Rollebaseret adgang, mindst mulige rettigheder, tofaktorgodkendelse for administratorer, periodisk gennemgang]</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Brugerlogin</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[Login via institutionens identitetsløsning, fx SAML eller OIDC]</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Kryptering</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[Kryptering under transmission (TLS-version) og ved opbevaring, nøglehåndtering]</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Logning og overvågning</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[Hvad logges, opbevaringstid for logs, den Dataansvarliges adgang til logs]</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Adskillelse af kundedata</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[Logisk eller fysisk adskillelse mellem kunder]</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Sikkerhedskopiering og reetablering</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[Hyppighed, opbevaringssted, test af reetablering, mål for reetableringstid]</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Sårbarhedsstyring</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[Opdateringsprocedurer, penetrationstest, hyppighed]</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Hændelseshåndtering</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[Procedure for sikkerhedshændelser, kontaktpunkt, frist for underretning efter punkt 8]</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Medarbejdere</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[Baggrundstjek i det omfang, det er lovligt, uddannelse, fortrolighedserklæringer]</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Fysisk sikkerhed</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[Krav til datacentre]</w:t>
            </w:r>
          </w:p>
        </w:tc>
      </w:tr>
      <w:tr>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Sletning</w:t>
            </w:r>
          </w:p>
        </w:tc>
        <w:tc>
          <w:tcPr>
            <w:tcW w:type="dxa" w:w="613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[Metode til sikker sletning og bekræftelse]</w:t>
            </w:r>
          </w:p>
        </w:tc>
      </w:tr>
    </w:tbl>
    <w:p/>
    <w:p>
      <w:pPr>
        <w:pStyle w:val="Heading1"/>
      </w:pPr>
      <w:r>
        <w:t xml:space="preserve">Bilag 3: Godkendte underdatabehandlere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05"/>
        <w:gridCol w:w="1625"/>
        <w:gridCol w:w="2166"/>
        <w:gridCol w:w="1264"/>
        <w:gridCol w:w="2166"/>
      </w:tblGrid>
      <w:tr>
        <w:trPr>
          <w:tblHeader/>
        </w:trPr>
        <w:tc>
          <w:tcPr>
            <w:tcW w:type="dxa" w:w="180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Navn og registreringsnr.</w:t>
            </w:r>
          </w:p>
        </w:tc>
        <w:tc>
          <w:tcPr>
            <w:tcW w:type="dxa" w:w="162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Adresse</w:t>
            </w:r>
          </w:p>
        </w:tc>
        <w:tc>
          <w:tcPr>
            <w:tcW w:type="dxa" w:w="216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Behandling, der udføres</w:t>
            </w:r>
          </w:p>
        </w:tc>
        <w:tc>
          <w:tcPr>
            <w:tcW w:type="dxa" w:w="126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Lokalitet</w:t>
            </w:r>
          </w:p>
        </w:tc>
        <w:tc>
          <w:tcPr>
            <w:tcW w:type="dxa" w:w="216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Overførselsgrundlag (uden for EU/EØS)</w:t>
            </w:r>
          </w:p>
        </w:tc>
      </w:tr>
      <w:tr>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[Navn]</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[Adresse]</w:t>
            </w:r>
          </w:p>
        </w:tc>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[Fx drift af infrastruktur]</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[Land]</w:t>
            </w:r>
          </w:p>
        </w:tc>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[Ikke relevant / se bilag 4]</w:t>
            </w:r>
          </w:p>
        </w:tc>
      </w:tr>
      <w:tr>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[Navn]</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[Adresse]</w:t>
            </w:r>
          </w:p>
        </w:tc>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[Fx kundesupport]</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[Land]</w:t>
            </w:r>
          </w:p>
        </w:tc>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[Ikke relevant / se bilag 4]</w:t>
            </w:r>
          </w:p>
        </w:tc>
      </w:tr>
      <w:tr>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[Navn]</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[Adresse]</w:t>
            </w:r>
          </w:p>
        </w:tc>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[Fx sprogmodel til AI-funktioner]</w:t>
            </w:r>
          </w:p>
        </w:tc>
        <w:tc>
          <w:tcPr>
            <w:tcW w:type="dxa" w:w="126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[Land]</w:t>
            </w:r>
          </w:p>
        </w:tc>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[Ikke relevant / se bilag 4]</w:t>
            </w:r>
          </w:p>
        </w:tc>
      </w:tr>
    </w:tbl>
    <w:p/>
    <w:p>
      <w:pPr>
        <w:pStyle w:val="Heading1"/>
      </w:pPr>
      <w:r>
        <w:t xml:space="preserve">Bilag 4: Overførsel til tredjelande</w:t>
      </w:r>
    </w:p>
    <w:p>
      <w:pPr>
        <w:spacing w:after="120"/>
      </w:pPr>
      <w:r>
        <w:t xml:space="preserve">Udfyldes kun, hvis den Dataansvarlige har godkendt overførsel. Er bilaget tomt, skal alle personoplysninger behandles inden for EU/EØS.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625"/>
        <w:gridCol w:w="1083"/>
        <w:gridCol w:w="2166"/>
        <w:gridCol w:w="2347"/>
        <w:gridCol w:w="1805"/>
      </w:tblGrid>
      <w:tr>
        <w:trPr>
          <w:tblHeader/>
        </w:trPr>
        <w:tc>
          <w:tcPr>
            <w:tcW w:type="dxa" w:w="162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Modtager</w:t>
            </w:r>
          </w:p>
        </w:tc>
        <w:tc>
          <w:tcPr>
            <w:tcW w:type="dxa" w:w="108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Land</w:t>
            </w:r>
          </w:p>
        </w:tc>
        <w:tc>
          <w:tcPr>
            <w:tcW w:type="dxa" w:w="216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Formål og type overførsel</w:t>
            </w:r>
          </w:p>
        </w:tc>
        <w:tc>
          <w:tcPr>
            <w:tcW w:type="dxa" w:w="234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Overførselsgrundlag</w:t>
            </w:r>
          </w:p>
        </w:tc>
        <w:tc>
          <w:tcPr>
            <w:tcW w:type="dxa" w:w="180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Supplerende foranstaltninger</w:t>
            </w:r>
          </w:p>
        </w:tc>
      </w:tr>
      <w:tr>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[Navn]</w:t>
            </w:r>
          </w:p>
        </w:tc>
        <w:tc>
          <w:tcPr>
            <w:tcW w:type="dxa" w:w="108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[Land]</w:t>
            </w:r>
          </w:p>
        </w:tc>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[Fx adgang fra tredjeland i forbindelse med support]</w:t>
            </w:r>
          </w:p>
        </w:tc>
        <w:tc>
          <w:tcPr>
            <w:tcW w:type="dxa" w:w="234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[Afgørelse om tilstrækkeligt beskyttelsesniveau / EU-Kommissionens standardkontraktbestemmelser (modul) / bindende virksomhedsregler]</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[Fx kryptering med nøgler i EU/EØS, pseudonymisering]</w:t>
            </w:r>
          </w:p>
        </w:tc>
      </w:tr>
    </w:tbl>
    <w:p/>
    <w:p>
      <w:pPr>
        <w:spacing w:after="120"/>
      </w:pPr>
      <w:r>
        <w:t xml:space="preserve">Dato for kontrol af overførselsgrundlaget: </w:t>
      </w:r>
      <w:r>
        <w:rPr>
          <w:highlight w:val="yellow"/>
          <w:highlightCs w:val="yellow"/>
        </w:rPr>
        <w:t xml:space="preserve">[dato]</w:t>
      </w:r>
      <w:r>
        <w:t xml:space="preserve">. Kontrolleret af: </w:t>
      </w:r>
      <w:r>
        <w:rPr>
          <w:highlight w:val="yellow"/>
          <w:highlightCs w:val="yellow"/>
        </w:rPr>
        <w:t xml:space="preserve">[navn]</w:t>
      </w:r>
      <w:r>
        <w:t xml:space="preserve">.</w:t>
      </w:r>
    </w:p>
    <w:p>
      <w:pPr>
        <w:pStyle w:val="Heading1"/>
      </w:pPr>
      <w:r>
        <w:t xml:space="preserve">Bilag 5: Kontaktpunkter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69"/>
        <w:gridCol w:w="2979"/>
        <w:gridCol w:w="2979"/>
      </w:tblGrid>
      <w:tr>
        <w:trPr>
          <w:tblHeader/>
        </w:trPr>
        <w:tc>
          <w:tcPr>
            <w:tcW w:type="dxa" w:w="3069"/>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Funktion</w:t>
            </w:r>
          </w:p>
        </w:tc>
        <w:tc>
          <w:tcPr>
            <w:tcW w:type="dxa" w:w="2979"/>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Dataansvarlig</w:t>
            </w:r>
          </w:p>
        </w:tc>
        <w:tc>
          <w:tcPr>
            <w:tcW w:type="dxa" w:w="2979"/>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Databehandler</w:t>
            </w:r>
          </w:p>
        </w:tc>
      </w:tr>
      <w:tr>
        <w:tc>
          <w:tcPr>
            <w:tcW w:type="dxa" w:w="306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Aftaleansvarlig</w:t>
            </w:r>
          </w:p>
        </w:tc>
        <w:tc>
          <w:tcPr>
            <w:tcW w:type="dxa" w:w="297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[navn, e-mail]</w:t>
            </w:r>
          </w:p>
        </w:tc>
        <w:tc>
          <w:tcPr>
            <w:tcW w:type="dxa" w:w="297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[navn, e-mail]</w:t>
            </w:r>
          </w:p>
        </w:tc>
      </w:tr>
      <w:tr>
        <w:tc>
          <w:tcPr>
            <w:tcW w:type="dxa" w:w="306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Databeskyttelsesrådgiver (DPO)</w:t>
            </w:r>
          </w:p>
        </w:tc>
        <w:tc>
          <w:tcPr>
            <w:tcW w:type="dxa" w:w="297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[navn, e-mail]</w:t>
            </w:r>
          </w:p>
        </w:tc>
        <w:tc>
          <w:tcPr>
            <w:tcW w:type="dxa" w:w="297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[navn, e-mail, hvis udpeget]</w:t>
            </w:r>
          </w:p>
        </w:tc>
      </w:tr>
      <w:tr>
        <w:tc>
          <w:tcPr>
            <w:tcW w:type="dxa" w:w="306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Underretning om brud på persondatasikkerheden (døgnbemandet, hvis muligt)</w:t>
            </w:r>
          </w:p>
        </w:tc>
        <w:tc>
          <w:tcPr>
            <w:tcW w:type="dxa" w:w="297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[funktionspostkasse, telefon]</w:t>
            </w:r>
          </w:p>
        </w:tc>
        <w:tc>
          <w:tcPr>
            <w:tcW w:type="dxa" w:w="297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[funktionspostkasse, telefon]</w:t>
            </w:r>
          </w:p>
        </w:tc>
      </w:tr>
      <w:tr>
        <w:tc>
          <w:tcPr>
            <w:tcW w:type="dxa" w:w="306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Underretning om underdatabehandlere og ændringer</w:t>
            </w:r>
          </w:p>
        </w:tc>
        <w:tc>
          <w:tcPr>
            <w:tcW w:type="dxa" w:w="297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[funktionspostkasse]</w:t>
            </w:r>
          </w:p>
        </w:tc>
        <w:tc>
          <w:tcPr>
            <w:tcW w:type="dxa" w:w="297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[funktionspostkasse]</w:t>
            </w:r>
          </w:p>
        </w:tc>
      </w:tr>
      <w:tr>
        <w:tc>
          <w:tcPr>
            <w:tcW w:type="dxa" w:w="306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Instrukser</w:t>
            </w:r>
          </w:p>
        </w:tc>
        <w:tc>
          <w:tcPr>
            <w:tcW w:type="dxa" w:w="297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[funktionspostkasse]</w:t>
            </w:r>
          </w:p>
        </w:tc>
        <w:tc>
          <w:tcPr>
            <w:tcW w:type="dxa" w:w="2979"/>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[funktionspostkasse]</w:t>
            </w:r>
          </w:p>
        </w:tc>
      </w:tr>
    </w:tbl>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6"/>
        <w:szCs w:val="16"/>
      </w:rPr>
      <w:t xml:space="preserve">Skabelon fra validemic.com. Ikke juridisk rådgivning: Lad jeres jurist eller databeskyttelsesrådgiver gennemgå skabelonen, før den tages i brug.   </w:t>
    </w:r>
    <w:r>
      <w:rPr>
        <w:color w:val="64748B"/>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120"/>
    </w:pPr>
    <w:rPr>
      <w:b/>
      <w:bCs/>
      <w:color w:val="0F1F38"/>
      <w:sz w:val="40"/>
      <w:szCs w:val="40"/>
    </w:rPr>
  </w:style>
  <w:style w:type="paragraph" w:styleId="Heading1">
    <w:name w:val="Heading 1"/>
    <w:basedOn w:val="Normal"/>
    <w:next w:val="Normal"/>
    <w:qFormat/>
    <w:pPr>
      <w:spacing w:after="120" w:before="320"/>
      <w:outlineLvl w:val="0"/>
    </w:pPr>
    <w:rPr>
      <w:b/>
      <w:bCs/>
      <w:color w:val="0F1F38"/>
      <w:sz w:val="30"/>
      <w:szCs w:val="30"/>
    </w:rPr>
  </w:style>
  <w:style w:type="paragraph" w:styleId="Heading2">
    <w:name w:val="Heading 2"/>
    <w:basedOn w:val="Normal"/>
    <w:next w:val="Normal"/>
    <w:qFormat/>
    <w:pPr>
      <w:spacing w:after="100" w:before="240"/>
      <w:outlineLvl w:val="1"/>
    </w:pPr>
    <w:rPr>
      <w:b/>
      <w:bCs/>
      <w:color w:val="1D4589"/>
      <w:sz w:val="25"/>
      <w:szCs w:val="25"/>
    </w:rPr>
  </w:style>
  <w:style w:type="paragraph" w:styleId="Heading3">
    <w:name w:val="Heading 3"/>
    <w:basedOn w:val="Normal"/>
    <w:next w:val="Normal"/>
    <w:qFormat/>
    <w:pPr>
      <w:spacing w:after="80" w:before="200"/>
      <w:outlineLvl w:val="2"/>
    </w:pPr>
    <w:rPr>
      <w:b/>
      <w:bCs/>
      <w:color w:val="334155"/>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Databehandleraftale</dc:title>
  <dc:creator>Validemic</dc:creator>
  <cp:lastModifiedBy>Un-named</cp:lastModifiedBy>
  <cp:revision>1</cp:revision>
  <dcterms:created xsi:type="dcterms:W3CDTF">2026-10-07T02:31:32.423Z</dcterms:created>
  <dcterms:modified xsi:type="dcterms:W3CDTF">2026-10-07T02:31:32.423Z</dcterms:modified>
</cp:coreProperties>
</file>

<file path=docProps/custom.xml><?xml version="1.0" encoding="utf-8"?>
<Properties xmlns="http://schemas.openxmlformats.org/officeDocument/2006/custom-properties" xmlns:vt="http://schemas.openxmlformats.org/officeDocument/2006/docPropsVTypes"/>
</file>