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Databehandleravtale</w:t>
      </w:r>
    </w:p>
    <w:p>
      <w:pPr>
        <w:spacing w:after="240"/>
      </w:pPr>
      <w:r>
        <w:rPr>
          <w:color w:val="64748B"/>
        </w:rPr>
        <w:t xml:space="preserve">Mal for universiteter og høyskoler etter personvernforordningen artikkel 28. Versjon oktober 2026, validemic.com</w:t>
      </w:r>
    </w:p>
    <w:p>
      <w:pPr>
        <w:pBdr>
          <w:left w:val="single" w:color="F59E0B" w:sz="18" w:space="8"/>
        </w:pBdr>
        <w:shd w:fill="FFFBEB" w:color="auto" w:val="clear"/>
        <w:spacing w:after="160" w:before="120"/>
      </w:pPr>
      <w:r>
        <w:rPr>
          <w:i/>
          <w:iCs/>
        </w:rPr>
        <w:t xml:space="preserve">Denne malen er ikke juridisk rådgivning. Den er et utgangspunkt som må tilpasses den konkrete behandlingen, hovedavtalen og institusjonens egne rutiner, og bør gjennomgås av personvernombudet eller juridisk rådgiver før bruk. Statlige virksomheter som anskaffer etter statens standardavtaler (SSA), bør også vurdere DFØs standard databehandleravtale.</w:t>
      </w:r>
    </w:p>
    <w:p>
      <w:pPr>
        <w:pStyle w:val="Heading2"/>
      </w:pPr>
      <w:r>
        <w:t xml:space="preserve">Slik bruker dere malen</w:t>
      </w:r>
    </w:p>
    <w:p>
      <w:pPr>
        <w:pStyle w:val="ListParagraph"/>
        <w:numPr>
          <w:ilvl w:val="0"/>
          <w:numId w:val="2"/>
        </w:numPr>
      </w:pPr>
      <w:r>
        <w:t xml:space="preserve">Fyll ut alle plassholdere i </w:t>
      </w:r>
      <w:r>
        <w:rPr>
          <w:highlight w:val="yellow"/>
          <w:highlightCs w:val="yellow"/>
        </w:rPr>
        <w:t xml:space="preserve">[hakeparenteser]</w:t>
      </w:r>
      <w:r>
        <w:t xml:space="preserve">. De er markert med gult.</w:t>
      </w:r>
    </w:p>
    <w:p>
      <w:pPr>
        <w:pStyle w:val="ListParagraph"/>
        <w:numPr>
          <w:ilvl w:val="0"/>
          <w:numId w:val="2"/>
        </w:numPr>
      </w:pPr>
      <w:r>
        <w:t xml:space="preserve">Der malen gir alternativer (for eksempel </w:t>
      </w:r>
      <w:r>
        <w:rPr>
          <w:b/>
          <w:bCs/>
        </w:rPr>
        <w:t xml:space="preserve">Alternativ A</w:t>
      </w:r>
      <w:r>
        <w:t xml:space="preserve"> og </w:t>
      </w:r>
      <w:r>
        <w:rPr>
          <w:b/>
          <w:bCs/>
        </w:rPr>
        <w:t xml:space="preserve">Alternativ B</w:t>
      </w:r>
      <w:r>
        <w:t xml:space="preserve">), beholder dere det som passer og sletter resten.</w:t>
      </w:r>
    </w:p>
    <w:p>
      <w:pPr>
        <w:pStyle w:val="ListParagraph"/>
        <w:numPr>
          <w:ilvl w:val="0"/>
          <w:numId w:val="2"/>
        </w:numPr>
      </w:pPr>
      <w:r>
        <w:t xml:space="preserve">Vedleggene er like viktige som selve avtaleteksten. Personvernrådet (EDPB) forventer at avtalen beskriver konkret hvordan kravene oppfylles, ikke bare gjentar lovteksten.</w:t>
      </w:r>
    </w:p>
    <w:p>
      <w:pPr>
        <w:pStyle w:val="ListParagraph"/>
        <w:numPr>
          <w:ilvl w:val="0"/>
          <w:numId w:val="2"/>
        </w:numPr>
      </w:pPr>
      <w:r>
        <w:t xml:space="preserve">Sikkerhetstiltakene i vedlegg 2 skal bygge på institusjonens egen risikovurdering av behandlingen.</w:t>
      </w:r>
    </w:p>
    <w:p>
      <w:pPr>
        <w:pStyle w:val="ListParagraph"/>
        <w:numPr>
          <w:ilvl w:val="0"/>
          <w:numId w:val="2"/>
        </w:numPr>
      </w:pPr>
      <w:r>
        <w:t xml:space="preserve">Slett denne veiledningen og merknaden over før avtalen sendes til leverandøren.</w:t>
      </w:r>
    </w:p>
    <w:p>
      <w:pPr>
        <w:pStyle w:val="Heading1"/>
      </w:pPr>
      <w:r>
        <w:t xml:space="preserve">Databehandleravtale</w:t>
      </w:r>
    </w:p>
    <w:p>
      <w:pPr>
        <w:spacing w:after="120"/>
      </w:pPr>
      <w:r>
        <w:t xml:space="preserve">Avtalen er inngått mellom: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27"/>
        <w:gridCol w:w="3249"/>
        <w:gridCol w:w="3249"/>
      </w:tblGrid>
      <w:tr>
        <w:trPr>
          <w:tblHeader/>
        </w:trPr>
        <w:tc>
          <w:tcPr>
            <w:tcW w:type="dxa" w:w="252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tc>
        <w:tc>
          <w:tcPr>
            <w:tcW w:type="dxa" w:w="324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Behandlingsansvarlig</w:t>
            </w:r>
          </w:p>
        </w:tc>
        <w:tc>
          <w:tcPr>
            <w:tcW w:type="dxa" w:w="324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Databehandler</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Navn</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[Universitetets eller høyskolens navn]</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[Leverandørens navn]</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Organisasjonsnummer</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[org.nr.]</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[org.nr.]</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Adresse</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[adresse]</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[adresse]</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Kontaktperson for avtalen</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e-post]</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e-post]</w:t>
            </w:r>
          </w:p>
        </w:tc>
      </w:tr>
    </w:tbl>
    <w:p/>
    <w:p>
      <w:pPr>
        <w:spacing w:after="120"/>
      </w:pPr>
      <w:r>
        <w:t xml:space="preserve">heretter kalt «Behandlingsansvarlig» og «Databehandler», og samlet «Partene».</w:t>
      </w:r>
    </w:p>
    <w:p>
      <w:pPr>
        <w:pStyle w:val="Heading2"/>
      </w:pPr>
      <w:r>
        <w:t xml:space="preserve">1. Bakgrunn og formål</w:t>
      </w:r>
    </w:p>
    <w:p>
      <w:pPr>
        <w:spacing w:after="120"/>
      </w:pPr>
      <w:r>
        <w:t xml:space="preserve">1.1 Partene har inngått </w:t>
      </w:r>
      <w:r>
        <w:rPr>
          <w:highlight w:val="yellow"/>
          <w:highlightCs w:val="yellow"/>
        </w:rPr>
        <w:t xml:space="preserve">[navn på hovedavtalen, dato]</w:t>
      </w:r>
      <w:r>
        <w:t xml:space="preserve"> («Hovedavtalen») om levering av </w:t>
      </w:r>
      <w:r>
        <w:rPr>
          <w:highlight w:val="yellow"/>
          <w:highlightCs w:val="yellow"/>
        </w:rPr>
        <w:t xml:space="preserve">[kort beskrivelse av tjenesten]</w:t>
      </w:r>
      <w:r>
        <w:t xml:space="preserve">. Ved oppfyllelsen av Hovedavtalen behandler Databehandler personopplysninger på vegne av Behandlingsansvarlig.</w:t>
      </w:r>
    </w:p>
    <w:p>
      <w:pPr>
        <w:spacing w:after="120"/>
      </w:pPr>
      <w:r>
        <w:t xml:space="preserve">1.2 Denne avtalen skal sikre at behandlingen skjer i samsvar med personvernforordningen (forordning (EU) 2016/679), slik den gjelder som norsk lov etter personopplysningsloven § 1, og annet gjeldende personvernregelverk. Avtalen oppfyller kravene i personvernforordningen artikkel 28 nr. 3.</w:t>
      </w:r>
    </w:p>
    <w:p>
      <w:pPr>
        <w:pStyle w:val="Heading2"/>
      </w:pPr>
      <w:r>
        <w:t xml:space="preserve">2. Definisjoner</w:t>
      </w:r>
    </w:p>
    <w:p>
      <w:pPr>
        <w:spacing w:after="120"/>
      </w:pPr>
      <w:r>
        <w:t xml:space="preserve">Begrepene i avtalen har samme betydning som i personvernforordningen artikkel 4, herunder «personopplysninger», «behandling», «behandlingsansvarlig», «databehandler» og «brudd på personopplysningssikkerheten». I tillegg betyr:</w:t>
      </w:r>
    </w:p>
    <w:p>
      <w:pPr>
        <w:pStyle w:val="ListParagraph"/>
        <w:numPr>
          <w:ilvl w:val="0"/>
          <w:numId w:val="2"/>
        </w:numPr>
      </w:pPr>
      <w:r>
        <w:rPr>
          <w:b/>
          <w:bCs/>
        </w:rPr>
        <w:t xml:space="preserve">Underdatabehandler:</w:t>
      </w:r>
      <w:r>
        <w:t xml:space="preserve"> en annen databehandler som Databehandler engasjerer for å utføre behandling på vegne av Behandlingsansvarlig.</w:t>
      </w:r>
    </w:p>
    <w:p>
      <w:pPr>
        <w:pStyle w:val="ListParagraph"/>
        <w:numPr>
          <w:ilvl w:val="0"/>
          <w:numId w:val="2"/>
        </w:numPr>
      </w:pPr>
      <w:r>
        <w:rPr>
          <w:b/>
          <w:bCs/>
        </w:rPr>
        <w:t xml:space="preserve">Tredjeland:</w:t>
      </w:r>
      <w:r>
        <w:t xml:space="preserve"> en stat utenfor EØS.</w:t>
      </w:r>
    </w:p>
    <w:p>
      <w:pPr>
        <w:pStyle w:val="ListParagraph"/>
        <w:numPr>
          <w:ilvl w:val="0"/>
          <w:numId w:val="2"/>
        </w:numPr>
      </w:pPr>
      <w:r>
        <w:rPr>
          <w:b/>
          <w:bCs/>
        </w:rPr>
        <w:t xml:space="preserve">Gjeldende personvernregelverk:</w:t>
      </w:r>
      <w:r>
        <w:t xml:space="preserve"> personvernforordningen, personopplysningsloven med forskrifter og annen lovgivning om behandling av personopplysninger som gjelder for behandlingen.</w:t>
      </w:r>
    </w:p>
    <w:p>
      <w:pPr>
        <w:pStyle w:val="Heading2"/>
      </w:pPr>
      <w:r>
        <w:t xml:space="preserve">3. Behandlingen</w:t>
      </w:r>
    </w:p>
    <w:p>
      <w:pPr>
        <w:spacing w:after="120"/>
      </w:pPr>
      <w:r>
        <w:t xml:space="preserve">3.1 Gjenstanden for og varigheten av behandlingen, behandlingens art og formål, typen personopplysninger og kategoriene av registrerte er beskrevet i vedlegg 1.</w:t>
      </w:r>
    </w:p>
    <w:p>
      <w:pPr>
        <w:spacing w:after="120"/>
      </w:pPr>
      <w:r>
        <w:t xml:space="preserve">3.2 Databehandler skal ikke behandle personopplysningene for andre formål enn dem som fremgår av vedlegg 1. Databehandler skal ikke bruke personopplysningene, eller data avledet av dem, til egen produktutvikling, analyse, markedsføring eller trening av modeller for kunstig intelligens, med mindre Behandlingsansvarlig uttrykkelig har instruert om dette skriftlig.</w:t>
      </w:r>
    </w:p>
    <w:p>
      <w:pPr>
        <w:pStyle w:val="Heading2"/>
      </w:pPr>
      <w:r>
        <w:t xml:space="preserve">4. Behandlingsansvarliges plikter og rettigheter</w:t>
      </w:r>
    </w:p>
    <w:p>
      <w:pPr>
        <w:spacing w:after="120"/>
      </w:pPr>
      <w:r>
        <w:t xml:space="preserve">4.1 Behandlingsansvarlig er ansvarlig for at behandlingen har et lovlig grunnlag, og for at de registrerte får informasjon om behandlingen.</w:t>
      </w:r>
    </w:p>
    <w:p>
      <w:pPr>
        <w:spacing w:after="120"/>
      </w:pPr>
      <w:r>
        <w:t xml:space="preserve">4.2 Behandlingsansvarlig har rett og plikt til å gi Databehandler instrukser om behandlingen, og kan kontrollere at Databehandler overholder avtalen etter punkt 13.</w:t>
      </w:r>
    </w:p>
    <w:p>
      <w:pPr>
        <w:pStyle w:val="Heading2"/>
      </w:pPr>
      <w:r>
        <w:t xml:space="preserve">5. Instrukser</w:t>
      </w:r>
    </w:p>
    <w:p>
      <w:pPr>
        <w:spacing w:after="120"/>
      </w:pPr>
      <w:r>
        <w:t xml:space="preserve">5.1 Databehandler skal bare behandle personopplysningene etter dokumenterte instrukser fra Behandlingsansvarlig, herunder med hensyn til overføring til tredjeland. Instruksen ved avtaleinngåelsen fremgår av denne avtalen og vedlegg 1. Nye eller endrede instrukser gis skriftlig til Databehandlers kontaktpunkt i vedlegg 5, og Databehandler skal oppbevare dem så lenge avtalen gjelder.</w:t>
      </w:r>
    </w:p>
    <w:p>
      <w:pPr>
        <w:spacing w:after="120"/>
      </w:pPr>
      <w:r>
        <w:t xml:space="preserve">5.2 Dersom Databehandler etter lov er forpliktet til å behandle personopplysningene utover instruksen, skal Databehandler underrette Behandlingsansvarlig om det rettslige kravet før behandlingen starter, med mindre loven av hensyn til viktige allmenne interesser forbyr slik underretning.</w:t>
      </w:r>
    </w:p>
    <w:p>
      <w:pPr>
        <w:spacing w:after="120"/>
      </w:pPr>
      <w:r>
        <w:t xml:space="preserve">5.3 Databehandler skal omgående underrette Behandlingsansvarlig dersom Databehandler mener at en instruks er i strid med gjeldende personvernregelverk. Databehandler kan stille gjennomføringen av den aktuelle instruksen i bero til Behandlingsansvarlig har bekreftet, endret eller trukket den tilbake.</w:t>
      </w:r>
    </w:p>
    <w:p>
      <w:pPr>
        <w:pStyle w:val="Heading2"/>
      </w:pPr>
      <w:r>
        <w:t xml:space="preserve">6. Taushetsplikt og tilgangsstyring</w:t>
      </w:r>
    </w:p>
    <w:p>
      <w:pPr>
        <w:spacing w:after="120"/>
      </w:pPr>
      <w:r>
        <w:t xml:space="preserve">6.1 Databehandler skal sikre at personer som er autorisert til å behandle personopplysningene, har forpliktet seg til konfidensialitet eller er underlagt lovfestet taushetsplikt. Forpliktelsen skal gjelde også etter at arbeids- eller oppdragsforholdet er avsluttet.</w:t>
      </w:r>
    </w:p>
    <w:p>
      <w:pPr>
        <w:spacing w:after="120"/>
      </w:pPr>
      <w:r>
        <w:t xml:space="preserve">6.2 Tilgang til personopplysningene skal bare gis personer som trenger den for å utføre oppdraget etter Hovedavtalen, og tilgangene skal gjennomgås jevnlig.</w:t>
      </w:r>
    </w:p>
    <w:p>
      <w:pPr>
        <w:pStyle w:val="Heading2"/>
      </w:pPr>
      <w:r>
        <w:t xml:space="preserve">7. Sikkerhet ved behandlingen</w:t>
      </w:r>
    </w:p>
    <w:p>
      <w:pPr>
        <w:spacing w:after="120"/>
      </w:pPr>
      <w:r>
        <w:t xml:space="preserve">7.1 Databehandler skal treffe alle tiltak som er nødvendige etter personvernforordningen artikkel 32, og som minimum gjennomføre tiltakene i vedlegg 2.</w:t>
      </w:r>
    </w:p>
    <w:p>
      <w:pPr>
        <w:spacing w:after="120"/>
      </w:pPr>
      <w:r>
        <w:t xml:space="preserve">7.2 Databehandler skal jevnlig teste og vurdere om tiltakene er effektive. Endringer som kan redusere sikkerhetsnivået, krever Behandlingsansvarliges skriftlige forhåndsgodkjenning.</w:t>
      </w:r>
    </w:p>
    <w:p>
      <w:pPr>
        <w:spacing w:after="120"/>
      </w:pPr>
      <w:r>
        <w:t xml:space="preserve">7.3 Databehandler skal bistå Behandlingsansvarlig med å oppfylle sine plikter etter artikkel 32, blant annet ved å gi informasjon som trengs til institusjonens risikovurdering.</w:t>
      </w:r>
    </w:p>
    <w:p>
      <w:pPr>
        <w:pStyle w:val="Heading2"/>
      </w:pPr>
      <w:r>
        <w:t xml:space="preserve">8. Brudd på personopplysningssikkerheten</w:t>
      </w:r>
    </w:p>
    <w:p>
      <w:pPr>
        <w:spacing w:after="120"/>
      </w:pPr>
      <w:r>
        <w:t xml:space="preserve">8.1 Databehandler skal varsle Behandlingsansvarlig uten ugrunnet opphold og senest innen </w:t>
      </w:r>
      <w:r>
        <w:rPr>
          <w:highlight w:val="yellow"/>
          <w:highlightCs w:val="yellow"/>
        </w:rPr>
        <w:t xml:space="preserve">[24]</w:t>
      </w:r>
      <w:r>
        <w:t xml:space="preserve"> timer etter å ha fått kjennskap til et brudd på personopplysningssikkerheten som berører personopplysninger omfattet av avtalen, også når bruddet skjer hos en underdatabehandler. Varselet sendes til kontaktpunktet i vedlegg 5.</w:t>
      </w:r>
    </w:p>
    <w:p>
      <w:pPr>
        <w:spacing w:after="120"/>
      </w:pPr>
      <w:r>
        <w:t xml:space="preserve">8.2 Varselet skal så langt det er mulig beskrive arten av bruddet, kategorier og omtrentlig antall registrerte og registreringer som er berørt, sannsynlige konsekvenser og tiltak som er truffet eller foreslås. Informasjon som ikke er tilgjengelig ved første varsel, gis trinnvis uten ytterligere ugrunnet opphold.</w:t>
      </w:r>
    </w:p>
    <w:p>
      <w:pPr>
        <w:spacing w:after="120"/>
      </w:pPr>
      <w:r>
        <w:t xml:space="preserve">8.3 Databehandler skal bistå Behandlingsansvarlig med melding til Datatilsynet og eventuell underretning av de registrerte etter artikkel 33 og 34, og dokumentere bruddet og tiltakene som er truffet.</w:t>
      </w:r>
    </w:p>
    <w:p>
      <w:pPr>
        <w:pStyle w:val="Heading2"/>
      </w:pPr>
      <w:r>
        <w:t xml:space="preserve">9. Underdatabehandlere</w:t>
      </w:r>
    </w:p>
    <w:p>
      <w:pPr>
        <w:spacing w:after="120"/>
      </w:pPr>
      <w:r>
        <w:t xml:space="preserve">9.1 Databehandler kan ikke engasjere en underdatabehandler uten Behandlingsansvarliges forhåndsgodkjenning. Underdatabehandlerne som er godkjent ved avtaleinngåelsen, er oppført i vedlegg 3.</w:t>
      </w:r>
    </w:p>
    <w:p>
      <w:pPr>
        <w:spacing w:after="120"/>
      </w:pPr>
      <w:r>
        <w:rPr>
          <w:b/>
          <w:bCs/>
        </w:rPr>
        <w:t xml:space="preserve">Alternativ A: særskilt godkjenning.</w:t>
      </w:r>
      <w:r>
        <w:t xml:space="preserve"> 9.2 Databehandler skal be om skriftlig godkjenning før en ny underdatabehandler tas i bruk eller en eksisterende skiftes ut. Anmodningen skal angi navn, adresse, hvilken behandling underdatabehandleren skal utføre, hvor behandlingen skjer og eventuelt overføringsgrunnlag. Har Behandlingsansvarlig ikke svart innen </w:t>
      </w:r>
      <w:r>
        <w:rPr>
          <w:highlight w:val="yellow"/>
          <w:highlightCs w:val="yellow"/>
        </w:rPr>
        <w:t xml:space="preserve">[30]</w:t>
      </w:r>
      <w:r>
        <w:t xml:space="preserve"> dager, regnes anmodningen som avslått.</w:t>
      </w:r>
    </w:p>
    <w:p>
      <w:pPr>
        <w:spacing w:after="120"/>
      </w:pPr>
      <w:r>
        <w:rPr>
          <w:b/>
          <w:bCs/>
        </w:rPr>
        <w:t xml:space="preserve">Alternativ B: generell godkjenning.</w:t>
      </w:r>
      <w:r>
        <w:t xml:space="preserve"> 9.2 Behandlingsansvarlig gir generell godkjenning til bruk av underdatabehandlere som oppfyller kravene i denne avtalen. Databehandler skal aktivt varsle Behandlingsansvarlig skriftlig minst </w:t>
      </w:r>
      <w:r>
        <w:rPr>
          <w:highlight w:val="yellow"/>
          <w:highlightCs w:val="yellow"/>
        </w:rPr>
        <w:t xml:space="preserve">[30]</w:t>
      </w:r>
      <w:r>
        <w:t xml:space="preserve"> dager før en ny underdatabehandler tas i bruk eller en eksisterende skiftes ut, med opplysningene nevnt i alternativ A. Publisering av en oppdatert liste på Databehandlers nettside er ikke tilstrekkelig varsling. Behandlingsansvarlig kan protestere mot endringen innen fristen. Ved protest skal Partene innen </w:t>
      </w:r>
      <w:r>
        <w:rPr>
          <w:highlight w:val="yellow"/>
          <w:highlightCs w:val="yellow"/>
        </w:rPr>
        <w:t xml:space="preserve">[30]</w:t>
      </w:r>
      <w:r>
        <w:t xml:space="preserve"> dager forsøke å finne en løsning, og Behandlingsansvarlig kan deretter si opp den delen av Hovedavtalen som berøres, uten kostnader.</w:t>
      </w:r>
    </w:p>
    <w:p>
      <w:pPr>
        <w:spacing w:after="120"/>
      </w:pPr>
      <w:r>
        <w:t xml:space="preserve">9.3 Databehandler skal inngå skriftlig avtale med hver underdatabehandler som pålegger den de samme forpliktelsene om vern av personopplysninger som følger av denne avtalen, herunder retten til revisjon etter punkt 13. Databehandler skal på forespørsel gi Behandlingsansvarlig kopi av de relevante delene av avtalen.</w:t>
      </w:r>
    </w:p>
    <w:p>
      <w:pPr>
        <w:spacing w:after="120"/>
      </w:pPr>
      <w:r>
        <w:t xml:space="preserve">9.4 Databehandler har fullt ansvar overfor Behandlingsansvarlig for at underdatabehandlere oppfyller sine forpliktelser.</w:t>
      </w:r>
    </w:p>
    <w:p>
      <w:pPr>
        <w:pStyle w:val="Heading2"/>
      </w:pPr>
      <w:r>
        <w:t xml:space="preserve">10. Overføring til tredjeland</w:t>
      </w:r>
    </w:p>
    <w:p>
      <w:pPr>
        <w:spacing w:after="120"/>
      </w:pPr>
      <w:r>
        <w:t xml:space="preserve">10.1 Personopplysningene skal behandles og lagres innenfor EØS, med mindre Behandlingsansvarlig skriftlig har godkjent overføring til tredjeland. Godkjente overføringer, med mottaker, land og overføringsgrunnlag, er oppført i vedlegg 4. Fjerntilgang fra et tredjeland, for eksempel ved support eller drift, regnes som overføring.</w:t>
      </w:r>
    </w:p>
    <w:p>
      <w:pPr>
        <w:spacing w:after="120"/>
      </w:pPr>
      <w:r>
        <w:t xml:space="preserve">10.2 Overføring kan bare skje dersom det foreligger et gyldig grunnlag etter personvernforordningen kapittel V, for eksempel en beslutning om tilstrekkelig beskyttelsesnivå eller Kommisjonens standard personvernbestemmelser. Ved bruk av standard personvernbestemmelser skal Databehandler på forespørsel gi Behandlingsansvarlig sin vurdering av mottakerlandets rett og praksis og en beskrivelse av eventuelle supplerende tiltak.</w:t>
      </w:r>
    </w:p>
    <w:p>
      <w:pPr>
        <w:spacing w:after="120"/>
      </w:pPr>
      <w:r>
        <w:t xml:space="preserve">10.3 Databehandler skal varsle Behandlingsansvarlig uten ugrunnet opphold dersom grunnlaget for en overføring faller bort eller endres, for eksempel fordi en beslutning om tilstrekkelig beskyttelsesnivå oppheves eller en mottaker ikke lenger er sertifisert.</w:t>
      </w:r>
    </w:p>
    <w:p>
      <w:pPr>
        <w:pStyle w:val="Heading2"/>
      </w:pPr>
      <w:r>
        <w:t xml:space="preserve">11. Bistand med de registrertes rettigheter</w:t>
      </w:r>
    </w:p>
    <w:p>
      <w:pPr>
        <w:spacing w:after="120"/>
      </w:pPr>
      <w:r>
        <w:t xml:space="preserve">11.1 Databehandler skal, idet det tas hensyn til behandlingens art og så langt det er mulig, bistå Behandlingsansvarlig ved hjelp av egnede tekniske og organisatoriske tiltak med å besvare anmodninger fra de registrerte etter personvernforordningen kapittel III, blant annet om innsyn, retting, sletting, begrensning, dataportabilitet og innsigelse.</w:t>
      </w:r>
    </w:p>
    <w:p>
      <w:pPr>
        <w:spacing w:after="120"/>
      </w:pPr>
      <w:r>
        <w:t xml:space="preserve">11.2 Mottar Databehandler en slik anmodning direkte, skal den videresendes til Behandlingsansvarlig innen </w:t>
      </w:r>
      <w:r>
        <w:rPr>
          <w:highlight w:val="yellow"/>
          <w:highlightCs w:val="yellow"/>
        </w:rPr>
        <w:t xml:space="preserve">[2]</w:t>
      </w:r>
      <w:r>
        <w:t xml:space="preserve"> virkedager. Databehandler skal ikke svare den registrerte selv uten instruks.</w:t>
      </w:r>
    </w:p>
    <w:p>
      <w:pPr>
        <w:pStyle w:val="Heading2"/>
      </w:pPr>
      <w:r>
        <w:t xml:space="preserve">12. Bistand med artikkel 32 til 36</w:t>
      </w:r>
    </w:p>
    <w:p>
      <w:pPr>
        <w:spacing w:after="120"/>
      </w:pPr>
      <w:r>
        <w:t xml:space="preserve">Databehandler skal bistå Behandlingsansvarlig med å sikre at forpliktelsene i personvernforordningen artikkel 32 til 36 overholdes, idet det tas hensyn til behandlingens art og informasjonen som er tilgjengelig for Databehandler. Dette omfatter blant annet informasjon og bistand til vurdering av personvernkonsekvenser (DPIA) og eventuelle forhåndsdrøftinger med Datatilsynet. Bistanden faktureres etter </w:t>
      </w:r>
      <w:r>
        <w:rPr>
          <w:highlight w:val="yellow"/>
          <w:highlightCs w:val="yellow"/>
        </w:rPr>
        <w:t xml:space="preserve">[Hovedavtalens timepriser / er inkludert i prisen]</w:t>
      </w:r>
      <w:r>
        <w:t xml:space="preserve">.</w:t>
      </w:r>
    </w:p>
    <w:p>
      <w:pPr>
        <w:pStyle w:val="Heading2"/>
      </w:pPr>
      <w:r>
        <w:t xml:space="preserve">13. Dokumentasjon og revisjon</w:t>
      </w:r>
    </w:p>
    <w:p>
      <w:pPr>
        <w:spacing w:after="120"/>
      </w:pPr>
      <w:r>
        <w:t xml:space="preserve">13.1 Databehandler skal gjøre tilgjengelig all informasjon som er nødvendig for å påvise at forpliktelsene i denne avtalen og artikkel 28 er oppfylt, herunder relevante deler av Databehandlers protokoll over behandlingsaktiviteter, beskrivelse av systemene og sikkerhetstiltakene, lagringssteder, underdatabehandlere og overføringer.</w:t>
      </w:r>
    </w:p>
    <w:p>
      <w:pPr>
        <w:spacing w:after="120"/>
      </w:pPr>
      <w:r>
        <w:t xml:space="preserve">13.2 Databehandler skal muliggjøre og bidra til revisjoner, herunder inspeksjoner, som gjennomføres av Behandlingsansvarlig eller en annen revisor Behandlingsansvarlig har gitt fullmakt. Revisjon varsles med minst </w:t>
      </w:r>
      <w:r>
        <w:rPr>
          <w:highlight w:val="yellow"/>
          <w:highlightCs w:val="yellow"/>
        </w:rPr>
        <w:t xml:space="preserve">[30]</w:t>
      </w:r>
      <w:r>
        <w:t xml:space="preserve"> dagers frist, med mindre det foreligger et brudd på personopplysningssikkerheten eller konkret mistanke om avtalebrudd. Uavhengige revisjonsrapporter og sertifiseringer kan inngå i dokumentasjonen, men avskjærer ikke Behandlingsansvarliges rett til revisjon.</w:t>
      </w:r>
    </w:p>
    <w:p>
      <w:pPr>
        <w:spacing w:after="120"/>
      </w:pPr>
      <w:r>
        <w:t xml:space="preserve">13.3 Hver part bærer egne kostnader ved revisjon. Databehandler kan ikke kreve gebyrer som er uforholdsmessige eller virker avskrekkende. Avdekker revisjonen vesentlige avvik, dekker Databehandler kostnadene ved revisjonen og retter avvikene uten ugrunnet opphold.</w:t>
      </w:r>
    </w:p>
    <w:p>
      <w:pPr>
        <w:pStyle w:val="Heading2"/>
      </w:pPr>
      <w:r>
        <w:t xml:space="preserve">14. Krav om utlevering fra myndigheter</w:t>
      </w:r>
    </w:p>
    <w:p>
      <w:pPr>
        <w:spacing w:after="120"/>
      </w:pPr>
      <w:r>
        <w:t xml:space="preserve">Mottar Databehandler eller en underdatabehandler et krav fra en offentlig myndighet om utlevering av personopplysninger omfattet av avtalen, skal Databehandler, så langt loven tillater det, straks varsle Behandlingsansvarlig, vurdere om kravet er lovlig, og ikke utlevere mer enn det som er strengt nødvendig.</w:t>
      </w:r>
    </w:p>
    <w:p>
      <w:pPr>
        <w:pStyle w:val="Heading2"/>
      </w:pPr>
      <w:r>
        <w:t xml:space="preserve">15. Sletting og tilbakelevering</w:t>
      </w:r>
    </w:p>
    <w:p>
      <w:pPr>
        <w:spacing w:after="120"/>
      </w:pPr>
      <w:r>
        <w:t xml:space="preserve">15.1 Når tjenestene knyttet til behandlingen er levert, skal Databehandler etter Behandlingsansvarliges valg slette eller tilbakelevere alle personopplysningene, og slette eksisterende kopier, med mindre lov krever at opplysningene lagres. Behandlingsansvarlig kan endre valget frem til avtalen opphører.</w:t>
      </w:r>
    </w:p>
    <w:p>
      <w:pPr>
        <w:spacing w:after="120"/>
      </w:pPr>
      <w:r>
        <w:t xml:space="preserve">15.2 Tilbakelevering skjer i formatet </w:t>
      </w:r>
      <w:r>
        <w:rPr>
          <w:highlight w:val="yellow"/>
          <w:highlightCs w:val="yellow"/>
        </w:rPr>
        <w:t xml:space="preserve">[format, for eksempel CSV eller JSON]</w:t>
      </w:r>
      <w:r>
        <w:t xml:space="preserve"> innen </w:t>
      </w:r>
      <w:r>
        <w:rPr>
          <w:highlight w:val="yellow"/>
          <w:highlightCs w:val="yellow"/>
        </w:rPr>
        <w:t xml:space="preserve">[30]</w:t>
      </w:r>
      <w:r>
        <w:t xml:space="preserve"> dager. Sletting skal skje på en sikker måte innen </w:t>
      </w:r>
      <w:r>
        <w:rPr>
          <w:highlight w:val="yellow"/>
          <w:highlightCs w:val="yellow"/>
        </w:rPr>
        <w:t xml:space="preserve">[30]</w:t>
      </w:r>
      <w:r>
        <w:t xml:space="preserve"> dager, også i sikkerhetskopier innen </w:t>
      </w:r>
      <w:r>
        <w:rPr>
          <w:highlight w:val="yellow"/>
          <w:highlightCs w:val="yellow"/>
        </w:rPr>
        <w:t xml:space="preserve">[90]</w:t>
      </w:r>
      <w:r>
        <w:t xml:space="preserve"> dager. Databehandler skal bekrefte skriftlig at slettingen er gjennomført.</w:t>
      </w:r>
    </w:p>
    <w:p>
      <w:pPr>
        <w:spacing w:after="120"/>
      </w:pPr>
      <w:r>
        <w:t xml:space="preserve">15.3 Dersom lov krever at Databehandler lagrer opplysninger, skal Databehandler opplyse om hjemmelen, og opplysningene skal bare behandles for dette formålet.</w:t>
      </w:r>
    </w:p>
    <w:p>
      <w:pPr>
        <w:pStyle w:val="Heading2"/>
      </w:pPr>
      <w:r>
        <w:t xml:space="preserve">16. Varighet og opphør</w:t>
      </w:r>
    </w:p>
    <w:p>
      <w:pPr>
        <w:spacing w:after="120"/>
      </w:pPr>
      <w:r>
        <w:t xml:space="preserve">16.1 Avtalen gjelder så lenge Databehandler behandler personopplysninger på vegne av Behandlingsansvarlig, uavhengig av om Hovedavtalen har opphørt.</w:t>
      </w:r>
    </w:p>
    <w:p>
      <w:pPr>
        <w:spacing w:after="120"/>
      </w:pPr>
      <w:r>
        <w:t xml:space="preserve">16.2 Ved vesentlig brudd på denne avtalen eller gjeldende personvernregelverk kan Behandlingsansvarlig pålegge Databehandler å stanse behandlingen umiddelbart og si opp Hovedavtalen helt eller delvis med øyeblikkelig virkning.</w:t>
      </w:r>
    </w:p>
    <w:p>
      <w:pPr>
        <w:pStyle w:val="Heading2"/>
      </w:pPr>
      <w:r>
        <w:t xml:space="preserve">17. Ansvar</w:t>
      </w:r>
    </w:p>
    <w:p>
      <w:pPr>
        <w:spacing w:after="120"/>
      </w:pPr>
      <w:r>
        <w:t xml:space="preserve">Partenes ansvar for brudd på denne avtalen reguleres av Hovedavtalen, med mindre noe annet følger av personvernforordningen artikkel 82 eller ufravikelig lov. Ansvarsbegrensninger i Hovedavtalen gjelder </w:t>
      </w:r>
      <w:r>
        <w:rPr>
          <w:highlight w:val="yellow"/>
          <w:highlightCs w:val="yellow"/>
        </w:rPr>
        <w:t xml:space="preserve">[ikke / bare med følgende unntak: ...]</w:t>
      </w:r>
      <w:r>
        <w:t xml:space="preserve"> for brudd på denne avtalen.</w:t>
      </w:r>
    </w:p>
    <w:p>
      <w:pPr>
        <w:pStyle w:val="Heading2"/>
      </w:pPr>
      <w:r>
        <w:t xml:space="preserve">18. Forholdet til andre avtaler</w:t>
      </w:r>
    </w:p>
    <w:p>
      <w:pPr>
        <w:spacing w:after="120"/>
      </w:pPr>
      <w:r>
        <w:t xml:space="preserve">Ved motstrid mellom denne avtalen og Hovedavtalen, Databehandlers generelle vilkår eller andre avtaler mellom Partene, går denne avtalen foran i alle spørsmål som gjelder behandling av personopplysninger.</w:t>
      </w:r>
    </w:p>
    <w:p>
      <w:pPr>
        <w:pStyle w:val="Heading2"/>
      </w:pPr>
      <w:r>
        <w:t xml:space="preserve">19. Endringer</w:t>
      </w:r>
    </w:p>
    <w:p>
      <w:pPr>
        <w:spacing w:after="120"/>
      </w:pPr>
      <w:r>
        <w:t xml:space="preserve">Endringer i avtalen og vedleggene krever skriftlig avtale mellom Partene, herunder elektronisk signering. Databehandler kan ikke endre avtalen ensidig, for eksempel ved å publisere nye vilkår på sin nettside. Endringer i vedlegg 3 og 4 kan likevel skje etter fremgangsmåten i punkt 9 og 10.</w:t>
      </w:r>
    </w:p>
    <w:p>
      <w:pPr>
        <w:pStyle w:val="Heading2"/>
      </w:pPr>
      <w:r>
        <w:t xml:space="preserve">20. Lovvalg og verneting</w:t>
      </w:r>
    </w:p>
    <w:p>
      <w:pPr>
        <w:spacing w:after="120"/>
      </w:pPr>
      <w:r>
        <w:t xml:space="preserve">Avtalen reguleres av norsk rett. Tvister søkes løst ved forhandlinger. Fører ikke forhandlinger frem, avgjøres tvisten av de ordinære domstolene med </w:t>
      </w:r>
      <w:r>
        <w:rPr>
          <w:highlight w:val="yellow"/>
          <w:highlightCs w:val="yellow"/>
        </w:rPr>
        <w:t xml:space="preserve">[Oslo tingrett / tingretten der Behandlingsansvarlig har sitt sete]</w:t>
      </w:r>
      <w:r>
        <w:t xml:space="preserve"> som avtalt verneting.</w:t>
      </w:r>
    </w:p>
    <w:p>
      <w:pPr>
        <w:pStyle w:val="Heading2"/>
      </w:pPr>
      <w:r>
        <w:t xml:space="preserve">Underskrifter</w:t>
      </w:r>
    </w:p>
    <w:p>
      <w:pPr>
        <w:spacing w:after="120"/>
      </w:pPr>
      <w:r>
        <w:t xml:space="preserve">Avtalen signeres elektronisk eller i to eksemplarer, ett til hver part.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For Behandlingsansvarlig</w:t>
            </w:r>
          </w:p>
        </w:tc>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For Databehandler</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Sted og dato: </w:t>
            </w:r>
            <w:r>
              <w:rPr>
                <w:highlight w:val="yellow"/>
                <w:highlightCs w:val="yellow"/>
              </w:rPr>
              <w:t xml:space="preserve">[sted, dato]</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Sted og dato: </w:t>
            </w:r>
            <w:r>
              <w:rPr>
                <w:highlight w:val="yellow"/>
                <w:highlightCs w:val="yellow"/>
              </w:rPr>
              <w:t xml:space="preserve">[sted, dato]</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Navn: </w:t>
            </w:r>
            <w:r>
              <w:rPr>
                <w:highlight w:val="yellow"/>
                <w:highlightCs w:val="yellow"/>
              </w:rPr>
              <w:t xml:space="preserve">[navn]</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Navn: </w:t>
            </w:r>
            <w:r>
              <w:rPr>
                <w:highlight w:val="yellow"/>
                <w:highlightCs w:val="yellow"/>
              </w:rPr>
              <w:t xml:space="preserve">[navn]</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Stilling: </w:t>
            </w:r>
            <w:r>
              <w:rPr>
                <w:highlight w:val="yellow"/>
                <w:highlightCs w:val="yellow"/>
              </w:rPr>
              <w:t xml:space="preserve">[stilling]</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Stilling: </w:t>
            </w:r>
            <w:r>
              <w:rPr>
                <w:highlight w:val="yellow"/>
                <w:highlightCs w:val="yellow"/>
              </w:rPr>
              <w:t xml:space="preserve">[stilling]</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Signatur:</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Signatur:</w:t>
            </w:r>
          </w:p>
        </w:tc>
      </w:tr>
    </w:tbl>
    <w:p/>
    <w:p>
      <w:pPr>
        <w:pStyle w:val="Heading1"/>
      </w:pPr>
      <w:r>
        <w:t xml:space="preserve">Vedlegg 1: Beskrivelse av behandlingen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88"/>
        <w:gridCol w:w="6138"/>
      </w:tblGrid>
      <w:tr>
        <w:trPr>
          <w:tblHeader/>
        </w:trPr>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Punkt</w:t>
            </w:r>
          </w:p>
        </w:tc>
        <w:tc>
          <w:tcPr>
            <w:tcW w:type="dxa" w:w="613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Beskrivelse</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Tjeneste</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på tjenesten, versjon og abonnement, for eksempel utdanningslisens]</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Gjenstand for behandlingen</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[Hva behandlingen gjelder, for eksempel lagring og analyse av svar fra spørreundersøkelser i forskningsprosjekter]</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Formål</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[Hvorfor institusjonen bruker tjenesten]</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Behandlingens art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[Operasjoner: innsamling, lagring, transkribering, analyse, generering av tekst, sikkerhetskopiering, support, sletting]</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Kategorier av registrerte</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[Studenter / ansatte / forskningsdeltakere / eksterne gjester / andre]</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Typer personopplysninger</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e-post, brukernavn, IP-adresse, innhold i dokumenter og samtaler, lydopptak, svar på spørsmål]</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Særlige kategorier (art. 9) og opplysninger om straffbare forhold (art. 10)</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[Ingen / beskriv, for eksempel helseopplysninger i forskningsdata]</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Varighet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[Fra dato til Hovedavtalen opphører, eller kriterier for varighet]</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Lagringstid hos Databehandler</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 eksempel så lenge kontoen er aktiv, deretter sletting etter punkt 15]</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Behandlingssted</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[Land og datasentre der data lagres og behandles]</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Særlige instrukser</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 eksempel: ingen bruk til trening av KI-modeller, logging av administratortilgang, krav om Feide-innlogging]</w:t>
            </w:r>
          </w:p>
        </w:tc>
      </w:tr>
    </w:tbl>
    <w:p/>
    <w:p>
      <w:pPr>
        <w:pStyle w:val="Heading1"/>
      </w:pPr>
      <w:r>
        <w:t xml:space="preserve">Vedlegg 2: Sikkerhetstiltak</w:t>
      </w:r>
    </w:p>
    <w:p>
      <w:pPr>
        <w:spacing w:after="120"/>
      </w:pPr>
      <w:r>
        <w:t xml:space="preserve">Tiltakene skal bygge på Behandlingsansvarliges risikovurdering. Beskriv konkrete tiltak, ikke bare henvisninger til «bransjestandard».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88"/>
        <w:gridCol w:w="6138"/>
      </w:tblGrid>
      <w:tr>
        <w:trPr>
          <w:tblHeader/>
        </w:trPr>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Område</w:t>
            </w:r>
          </w:p>
        </w:tc>
        <w:tc>
          <w:tcPr>
            <w:tcW w:type="dxa" w:w="613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Tiltak</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Styringssystem og sertifisering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 eksempel ISO/IEC 27001 med omfang og sertifiseringsorgan, SOC 2 Type II-rapport, dato for siste revisjon]</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Tilgangsstyring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[Rollebasert tilgang, minste privilegium, tofaktorautentisering for administratorer, periodisk gjennomgang]</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Autentisering for brukere</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[Pålogging via institusjonens identitetsløsning, for eksempel Feide eller SAML/OIDC]</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Kryptering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[Kryptering under overføring (TLS-versjon) og ved lagring, håndtering av nøkler]</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Logging og overvåking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[Hva logges, lagringstid for logger, tilgang til logger for Behandlingsansvarlig]</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Atskillelse av kundedata</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[Logisk eller fysisk atskillelse mellom kunder]</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Sikkerhetskopiering og gjenoppretting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[Frekvens, lagringssted, testing av gjenoppretting, mål for gjenopprettingstid]</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Sårbarhetshåndtering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[Oppdateringsrutiner, penetrasjonstesting, frekvens]</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Hendelseshåndtering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[Rutine for avvik, kontaktpunkt, varslingsfrist etter punkt 8]</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Personell</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[Bakgrunnssjekk der det er lovlig, opplæring, taushetserklæringer]</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Fysisk sikkerhet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[Krav til datasentre]</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Sletting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[Metode for sikker sletting og bekreftelse]</w:t>
            </w:r>
          </w:p>
        </w:tc>
      </w:tr>
    </w:tbl>
    <w:p/>
    <w:p>
      <w:pPr>
        <w:pStyle w:val="Heading1"/>
      </w:pPr>
      <w:r>
        <w:t xml:space="preserve">Vedlegg 3: Godkjente underdatabehandlere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625"/>
        <w:gridCol w:w="2166"/>
        <w:gridCol w:w="1264"/>
        <w:gridCol w:w="2166"/>
      </w:tblGrid>
      <w:tr>
        <w:trPr>
          <w:tblHeader/>
        </w:trPr>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Navn og org.nr.</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Adresse</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Behandling som utføres</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Behandlingssted</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Overføringsgrunnlag (hvis utenfor EØS)</w:t>
            </w:r>
          </w:p>
        </w:tc>
      </w:tr>
      <w:tr>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[Adresse]</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 eksempel drift av infrastruktur]</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[Land]</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[Ikke aktuelt / se vedlegg 4]</w:t>
            </w:r>
          </w:p>
        </w:tc>
      </w:tr>
      <w:tr>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[Adresse]</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 eksempel kundestøtte]</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[Land]</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[Ikke aktuelt / se vedlegg 4]</w:t>
            </w:r>
          </w:p>
        </w:tc>
      </w:tr>
      <w:tr>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[Adresse]</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 eksempel språkmodell for KI-funksjoner]</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[Land]</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[Ikke aktuelt / se vedlegg 4]</w:t>
            </w:r>
          </w:p>
        </w:tc>
      </w:tr>
    </w:tbl>
    <w:p/>
    <w:p>
      <w:pPr>
        <w:pStyle w:val="Heading1"/>
      </w:pPr>
      <w:r>
        <w:t xml:space="preserve">Vedlegg 4: Overføringer til tredjeland</w:t>
      </w:r>
    </w:p>
    <w:p>
      <w:pPr>
        <w:spacing w:after="120"/>
      </w:pPr>
      <w:r>
        <w:t xml:space="preserve">Fylles ut bare dersom Behandlingsansvarlig har godkjent overføring. Står det ingenting her, skal alle personopplysninger behandles innenfor EØS.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25"/>
        <w:gridCol w:w="1083"/>
        <w:gridCol w:w="2166"/>
        <w:gridCol w:w="2347"/>
        <w:gridCol w:w="1805"/>
      </w:tblGrid>
      <w:tr>
        <w:trPr>
          <w:tblHeader/>
        </w:trPr>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Mottaker</w:t>
            </w:r>
          </w:p>
        </w:tc>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Land</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Formål og type overføring</w:t>
            </w:r>
          </w:p>
        </w:tc>
        <w:tc>
          <w:tcPr>
            <w:tcW w:type="dxa" w:w="234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Overføringsgrunnlag</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Supplerende tiltak</w:t>
            </w:r>
          </w:p>
        </w:tc>
      </w:tr>
      <w:tr>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[Land]</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 eksempel fjerntilgang ved support]</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[Beslutning om tilstrekkelig beskyttelsesnivå / standard personvernbestemmelser (modul) / bindende virksomhetsregler]</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 eksempel kryptering med nøkler i EØS, pseudonymisering]</w:t>
            </w:r>
          </w:p>
        </w:tc>
      </w:tr>
    </w:tbl>
    <w:p/>
    <w:p>
      <w:pPr>
        <w:spacing w:after="120"/>
      </w:pPr>
      <w:r>
        <w:t xml:space="preserve">Dato for kontroll av overføringsgrunnlaget: </w:t>
      </w:r>
      <w:r>
        <w:rPr>
          <w:highlight w:val="yellow"/>
          <w:highlightCs w:val="yellow"/>
        </w:rPr>
        <w:t xml:space="preserve">[dato]</w:t>
      </w:r>
      <w:r>
        <w:t xml:space="preserve">. Kontrollert av: </w:t>
      </w:r>
      <w:r>
        <w:rPr>
          <w:highlight w:val="yellow"/>
          <w:highlightCs w:val="yellow"/>
        </w:rPr>
        <w:t xml:space="preserve">[navn]</w:t>
      </w:r>
      <w:r>
        <w:t xml:space="preserve">.</w:t>
      </w:r>
    </w:p>
    <w:p>
      <w:pPr>
        <w:pStyle w:val="Heading1"/>
      </w:pPr>
      <w:r>
        <w:t xml:space="preserve">Vedlegg 5: Kontaktpunkter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69"/>
        <w:gridCol w:w="2979"/>
        <w:gridCol w:w="2979"/>
      </w:tblGrid>
      <w:tr>
        <w:trPr>
          <w:tblHeader/>
        </w:trPr>
        <w:tc>
          <w:tcPr>
            <w:tcW w:type="dxa" w:w="306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Funksjon</w:t>
            </w:r>
          </w:p>
        </w:tc>
        <w:tc>
          <w:tcPr>
            <w:tcW w:type="dxa" w:w="297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Behandlingsansvarlig</w:t>
            </w:r>
          </w:p>
        </w:tc>
        <w:tc>
          <w:tcPr>
            <w:tcW w:type="dxa" w:w="297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Databehandler</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Avtaleansvarlig</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e-post]</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e-post]</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Personvernombud</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e-post]</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e-post, hvis utpekt]</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Varsling om sikkerhetsbrudd (døgnbemannet hvis mulig)</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[funksjonsadresse, telefon]</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[funksjonsadresse, telefon]</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Varsling om underdatabehandlere og endringer</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[funksjonsadresse]</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[funksjonsadresse]</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Instrukser</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[funksjonsadresse]</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[funksjonsadresse]</w:t>
            </w:r>
          </w:p>
        </w:tc>
      </w:tr>
    </w:tbl>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Mal fra validemic.com. Ikke juridisk rådgivning: la personvernombudet eller en jurist gå gjennom malen før bruk.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Databehandleravtale</dc:title>
  <dc:creator>Validemic</dc:creator>
  <cp:lastModifiedBy>Un-named</cp:lastModifiedBy>
  <cp:revision>1</cp:revision>
  <dcterms:created xsi:type="dcterms:W3CDTF">2026-10-07T02:31:32.472Z</dcterms:created>
  <dcterms:modified xsi:type="dcterms:W3CDTF">2026-10-07T02:31:32.472Z</dcterms:modified>
</cp:coreProperties>
</file>

<file path=docProps/custom.xml><?xml version="1.0" encoding="utf-8"?>
<Properties xmlns="http://schemas.openxmlformats.org/officeDocument/2006/custom-properties" xmlns:vt="http://schemas.openxmlformats.org/officeDocument/2006/docPropsVTypes"/>
</file>