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Vurdering av personvernkonsekvenser (DPIA)</w:t>
      </w:r>
    </w:p>
    <w:p>
      <w:pPr>
        <w:spacing w:after="240"/>
      </w:pPr>
      <w:r>
        <w:rPr>
          <w:color w:val="64748B"/>
        </w:rPr>
        <w:t xml:space="preserve">Mal for universiteter og høyskoler etter personvernforordningen artikkel 35. Versjon oktober 2026, validemic.com</w:t>
      </w:r>
    </w:p>
    <w:p>
      <w:pPr>
        <w:pBdr>
          <w:left w:val="single" w:color="F59E0B" w:sz="18" w:space="8"/>
        </w:pBdr>
        <w:shd w:fill="FFFBEB" w:color="auto" w:val="clear"/>
        <w:spacing w:after="160" w:before="120"/>
      </w:pPr>
      <w:r>
        <w:rPr>
          <w:i/>
          <w:iCs/>
        </w:rPr>
        <w:t xml:space="preserve">Slik bruker dere malen: fyll ut alt som står i </w:t>
      </w:r>
      <w:r>
        <w:rPr>
          <w:i/>
          <w:iCs/>
          <w:highlight w:val="yellow"/>
          <w:highlightCs w:val="yellow"/>
        </w:rPr>
        <w:t xml:space="preserve">[hakeparenteser]</w:t>
      </w:r>
      <w:r>
        <w:rPr>
          <w:i/>
          <w:iCs/>
        </w:rPr>
        <w:t xml:space="preserve">. Del 1 kan brukes alene for å dokumentere at en DPIA ikke er nødvendig. Vurderingen skal gjøres før behandlingen starter, og personvernombudet skal rådspørres (artikkel 35 nr. 2). Malen er ikke juridisk rådgivning. Kontroller screeningen mot Datatilsynets egen liste over behandlinger som alltid krever DPIA, og bruk institusjonens egen mal eller Sikts mal der det er fastsatt. Slett denne ruten når dokumentet er ferdig utfylt.</w:t>
      </w:r>
    </w:p>
    <w:p>
      <w:pPr>
        <w:pStyle w:val="Heading1"/>
      </w:pPr>
      <w:r>
        <w:t xml:space="preserve">Grunnopplysninger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Opplysning</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Fylles ut</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Navn på behandlingen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 eksempel: Fjernovervåket digital hjemmeeksamen]</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Behandlingsansvarlig</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[Universitetets eller høyskolens navn]</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Ansvarlig enhet og eier av vurderingen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[Fakultet, avdeling eller prosjekt, navn og stilling]</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Personvernombud</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eller funksjonsadresse]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Arbeidsgruppe</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og roller, for eksempel systemeier, IT-sikkerhet, fagmiljø, innkjøp]</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Saksnummer i arkivsystemet</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Versjon og dato</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[1.0, DD.MM.ÅÅÅÅ]</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Dato for neste gjennomgang</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[DD.MM.ÅÅÅÅ]</w:t>
            </w:r>
          </w:p>
        </w:tc>
      </w:tr>
    </w:tbl>
    <w:p/>
    <w:p>
      <w:pPr>
        <w:pStyle w:val="Heading1"/>
      </w:pPr>
      <w:r>
        <w:t xml:space="preserve">1. Er det behov for DPIA?</w:t>
      </w:r>
    </w:p>
    <w:p>
      <w:pPr>
        <w:pStyle w:val="Heading3"/>
      </w:pPr>
      <w:r>
        <w:t xml:space="preserve">1.1 Typetilfellene i artikkel 35 nr. 3</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1264"/>
        <w:gridCol w:w="3249"/>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Tilfelle</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Oppfylt?</w:t>
            </w:r>
          </w:p>
        </w:tc>
        <w:tc>
          <w:tcPr>
            <w:tcW w:type="dxa" w:w="324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Begrunnelse</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 Systematisk og omfattende vurdering av personlige aspekter basert på automatisert behandling, herunder profilering, som danner grunnlag for avgjørelser med rettsvirkning eller tilsvarende betydelig påvirkning</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 Behandling i stor skala av særlige kategorier (art. 9) eller opplysninger om straffedommer og lovovertredelser (art. 10)</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 Systematisk overvåking i stor skala av et offentlig tilgjengelig område</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3"/>
      </w:pPr>
      <w:r>
        <w:t xml:space="preserve">1.2 EDPBs ni kriterier (WP 248)</w:t>
      </w:r>
    </w:p>
    <w:p>
      <w:pPr>
        <w:spacing w:after="120"/>
      </w:pPr>
      <w:r>
        <w:t xml:space="preserve">Som hovedregel kreves DPIA når behandlingen oppfyller to eller flere kriterier. I noen tilfeller kan ett kriterium være nok.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1264"/>
        <w:gridCol w:w="3249"/>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Kriterium</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Oppfylt?</w:t>
            </w:r>
          </w:p>
        </w:tc>
        <w:tc>
          <w:tcPr>
            <w:tcW w:type="dxa" w:w="324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Begrunnelse</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 Evaluering eller poengsetting, herunder profilering og prediksjon</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2. Automatiserte avgjørelser med rettsvirkning eller tilsvarende betydelig virkning</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3. Systematisk overvåking</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4. Særlige kategorier eller opplysninger av svært personlig karakter</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5. Behandling i stor skala</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6. Sammenstilling av datasett ut over det de registrerte kan forvente</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7. Sårbare registrerte (for eksempel studenter, ansatte, barn, pasienter)</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8. Innovativ bruk eller ny teknologisk eller organisatorisk løsning</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9. Behandlingen hindrer de registrerte i å utøve en rettighet eller bruke en tjeneste</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3"/>
      </w:pPr>
      <w:r>
        <w:t xml:space="preserve">1.3 Datatilsynets liste (artikkel 35 nr. 4)</w:t>
      </w:r>
    </w:p>
    <w:p>
      <w:pPr>
        <w:spacing w:after="120"/>
      </w:pPr>
      <w:r>
        <w:t xml:space="preserve">Punktene under er et utvalg som ofte er aktuelt i UH-sektoren. Kontroller alltid mot Datatilsynets fullstendige og oppdaterte liste.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1264"/>
        <w:gridCol w:w="3249"/>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Behandling</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Aktuelt?</w:t>
            </w:r>
          </w:p>
        </w:tc>
        <w:tc>
          <w:tcPr>
            <w:tcW w:type="dxa" w:w="324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Begrunnelse</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Behandling for å evaluere læring, mestring og trivsel</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Systematisk monitorering av effektivitet, ferdigheter, kunnskap, mental helse og utvikling</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Systematisk monitorering av ansatte</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Biometriske opplysninger for å identifisere enkeltpersoner (sammen med minst ett annet kriterium)</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Innovativ teknologi (sammen med minst ett annet kriterium)</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Behandling uten samtykke til forskningsformål (sammen med minst ett annet kriterium)</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Behandling i stor skala for algoritmetrening som omfatter særlige kategorier eller svært personlige opplysninger</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Andre punkter på listen: </w:t>
            </w:r>
            <w:r>
              <w:rPr>
                <w:highlight w:val="yellow"/>
                <w:highlightCs w:val="yellow"/>
              </w:rPr>
              <w:t xml:space="preserve">[angi]</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3"/>
      </w:pPr>
      <w:r>
        <w:t xml:space="preserve">1.4 Forskning: personopplysningsloven §§ 9 og 10</w:t>
      </w:r>
    </w:p>
    <w:p>
      <w:pPr>
        <w:spacing w:after="120"/>
      </w:pPr>
      <w:r>
        <w:t xml:space="preserve">Behandles særlige kategorier av personopplysninger for forskningsformål, med eller uten samtykke? </w:t>
      </w:r>
      <w:r>
        <w:rPr>
          <w:highlight w:val="yellow"/>
          <w:highlightCs w:val="yellow"/>
        </w:rPr>
        <w:t xml:space="preserve">[Ja/Nei]</w:t>
      </w:r>
      <w:r>
        <w:t xml:space="preserve">. Er svaret ja, skal personvernombudet rådspørres før behandlingen starter, med mindre det gjennomføres en DPIA. Dokumenter hvilket alternativ som er valgt: </w:t>
      </w:r>
      <w:r>
        <w:rPr>
          <w:highlight w:val="yellow"/>
          <w:highlightCs w:val="yellow"/>
        </w:rPr>
        <w:t xml:space="preserve">[ ]</w:t>
      </w:r>
    </w:p>
    <w:p>
      <w:pPr>
        <w:pStyle w:val="Heading3"/>
      </w:pPr>
      <w:r>
        <w:t xml:space="preserve">1.5 Konklusjon</w:t>
      </w:r>
    </w:p>
    <w:p>
      <w:pPr>
        <w:spacing w:after="120"/>
      </w:pPr>
      <w:r>
        <w:rPr>
          <w:highlight w:val="yellow"/>
          <w:highlightCs w:val="yellow"/>
        </w:rPr>
        <w:t xml:space="preserve">[DPIA er påkrevd / er ikke påkrevd.]</w:t>
      </w:r>
      <w:r>
        <w:t xml:space="preserve"> Begrunnelse: </w:t>
      </w:r>
      <w:r>
        <w:rPr>
          <w:highlight w:val="yellow"/>
          <w:highlightCs w:val="yellow"/>
        </w:rPr>
        <w:t xml:space="preserve">[ ]</w:t>
      </w:r>
    </w:p>
    <w:p>
      <w:pPr>
        <w:spacing w:after="120"/>
      </w:pPr>
      <w:r>
        <w:t xml:space="preserve">Er to eller flere kriterier oppfylt, men dere mener at behandlingen ikke gir høy risiko, begrunn hvorfor og gjengi personvernombudets syn: </w:t>
      </w:r>
      <w:r>
        <w:rPr>
          <w:highlight w:val="yellow"/>
          <w:highlightCs w:val="yellow"/>
        </w:rPr>
        <w:t xml:space="preserve">[ ]</w:t>
      </w:r>
    </w:p>
    <w:p>
      <w:pPr>
        <w:pStyle w:val="Heading1"/>
      </w:pPr>
      <w:r>
        <w:t xml:space="preserve">2. Arbeidsgruppe og plan</w:t>
      </w:r>
    </w:p>
    <w:p>
      <w:pPr>
        <w:pStyle w:val="ListParagraph"/>
        <w:numPr>
          <w:ilvl w:val="0"/>
          <w:numId w:val="2"/>
        </w:numPr>
      </w:pPr>
      <w:r>
        <w:t xml:space="preserve">Deltakere og roller: </w:t>
      </w:r>
      <w:r>
        <w:rPr>
          <w:highlight w:val="yellow"/>
          <w:highlightCs w:val="yellow"/>
        </w:rPr>
        <w:t xml:space="preserve">[ ]</w:t>
      </w:r>
    </w:p>
    <w:p>
      <w:pPr>
        <w:pStyle w:val="ListParagraph"/>
        <w:numPr>
          <w:ilvl w:val="0"/>
          <w:numId w:val="2"/>
        </w:numPr>
      </w:pPr>
      <w:r>
        <w:t xml:space="preserve">Tidsplan, inkludert eventuell forhåndsdrøfting med Datatilsynet (inntil åtte uker, med mulig forlengelse på seks uker): </w:t>
      </w:r>
      <w:r>
        <w:rPr>
          <w:highlight w:val="yellow"/>
          <w:highlightCs w:val="yellow"/>
        </w:rPr>
        <w:t xml:space="preserve">[ ]</w:t>
      </w:r>
    </w:p>
    <w:p>
      <w:pPr>
        <w:pStyle w:val="ListParagraph"/>
        <w:numPr>
          <w:ilvl w:val="0"/>
          <w:numId w:val="2"/>
        </w:numPr>
      </w:pPr>
      <w:r>
        <w:t xml:space="preserve">Dokumentasjon som skal innhentes, for eksempel leverandørens databehandleravtale, sikkerhetsdokumentasjon og liste over underdatabehandlere: </w:t>
      </w:r>
      <w:r>
        <w:rPr>
          <w:highlight w:val="yellow"/>
          <w:highlightCs w:val="yellow"/>
        </w:rPr>
        <w:t xml:space="preserve">[ ]</w:t>
      </w:r>
    </w:p>
    <w:p>
      <w:pPr>
        <w:pStyle w:val="Heading1"/>
      </w:pPr>
      <w:r>
        <w:t xml:space="preserve">3. Systematisk beskrivelse av behandlingen (art. 35 nr. 7 bokstav 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Opplysning</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Beskrivelse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Formål</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Bakgrunn og sammenheng</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[Hvorfor behandlingen trengs og hvilken virksomhet den støtter]</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Kategorier av registrerte og omtrentlig antall</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 eksempel studenter, ansatte, forskningsdeltakere]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Kategorier av personopplysninger</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Særlige kategorier, straffedommer, fødselsnummer</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Kilder til opplysningene</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Informasjonsflyt</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[Beskriv eller legg ved en skisse: innsamling, lagring, tilgang, utlevering, sletting]</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Systemer og leverandører</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[Systemer, databehandlere og underdatabehandlere]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Mottakere</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[Interne og eksterne mottakere]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Behandlingssted og eventuelle overføringer til tredjeland</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[Land og overføringsgrunnlag]</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Lagringstid og sletting</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Teknologi som brukes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 eksempel KI-modell, skytjeneste, kamera eller skjermopptak]</w:t>
            </w:r>
          </w:p>
        </w:tc>
      </w:tr>
    </w:tbl>
    <w:p/>
    <w:p>
      <w:pPr>
        <w:pStyle w:val="Heading1"/>
      </w:pPr>
      <w:r>
        <w:t xml:space="preserve">4. Nødvendighet og forholdsmessighet (art. 35 nr. 7 bokstav b)</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10"/>
        <w:gridCol w:w="5416"/>
      </w:tblGrid>
      <w:tr>
        <w:trPr>
          <w:tblHeader/>
        </w:trPr>
        <w:tc>
          <w:tcPr>
            <w:tcW w:type="dxa" w:w="361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Spørsmål</w:t>
            </w:r>
          </w:p>
        </w:tc>
        <w:tc>
          <w:tcPr>
            <w:tcW w:type="dxa" w:w="541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Vurdering</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Behandlingsgrunnlag etter artikkel 6, og unntak etter artikkel 9 eller 10 der det er relevant</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Supplerende rettsgrunnlag i norsk lov (for eksempel universitets- og høyskoleloven eller personopplysningsloven § 8 eller § 9)</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Er behandlingen nødvendig for formålet? Finnes mindre inngripende alternativer?</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Dataminimering: behandles bare opplysninger som trengs?</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Lagringsbegrensning</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Informasjon til de registrerte (artikkel 13 og 14)</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Hvordan de registrerte kan utøve rettighetene sine</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Databehandleravtale med alle databehandlere (artikkel 28)</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 saksnummer]</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Overføring til tredjeland og overføringsgrunnlag (kapittel V)</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Forskningsetisk vurdering eller annen særregulering</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Taushetsplikt etter forvaltningsloven eller annen lov</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5. Risikovurdering (art. 35 nr. 7 bokstav c)</w:t>
      </w:r>
    </w:p>
    <w:p>
      <w:pPr>
        <w:spacing w:after="120"/>
      </w:pPr>
      <w:r>
        <w:t xml:space="preserve">Beskriv hva som kan ramme de registrerte, ikke bare institusjonen. Vurder sannsynlighet og konsekvens på en skala fra 1 (lav) til 4 (svært høy). Eksempler på risikoer: uautorisert tilgang, utilsiktet sletting, formålsutglidning, feilaktige slutninger om enkeltpersoner, diskriminering, manglende åpenhet, overføring til tredjeland, og at de registrerte lar være å utøve rettighetene sine.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
        <w:gridCol w:w="3971"/>
        <w:gridCol w:w="1444"/>
        <w:gridCol w:w="1264"/>
        <w:gridCol w:w="1805"/>
      </w:tblGrid>
      <w:tr>
        <w:trPr>
          <w:tblHeader/>
        </w:trPr>
        <w:tc>
          <w:tcPr>
            <w:tcW w:type="dxa" w:w="54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Nr.</w:t>
            </w:r>
          </w:p>
        </w:tc>
        <w:tc>
          <w:tcPr>
            <w:tcW w:type="dxa" w:w="3971"/>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Risiko for de registrerte</w:t>
            </w:r>
          </w:p>
        </w:tc>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Sannsynlighet (1–4)</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Konsekvens (1–4)</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Risikonivå før tiltak</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R1</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R2</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R3</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R4</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6. Tiltak for å håndtere risikoene (art. 35 nr. 7 bokstav 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3"/>
        <w:gridCol w:w="3610"/>
        <w:gridCol w:w="1625"/>
        <w:gridCol w:w="1264"/>
        <w:gridCol w:w="1625"/>
      </w:tblGrid>
      <w:tr>
        <w:trPr>
          <w:tblHeader/>
        </w:trPr>
        <w:tc>
          <w:tcPr>
            <w:tcW w:type="dxa" w:w="90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Risiko</w:t>
            </w:r>
          </w:p>
        </w:tc>
        <w:tc>
          <w:tcPr>
            <w:tcW w:type="dxa" w:w="361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Tiltak</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Ansvarlig</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Frist</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Restrisiko</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R1</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R2</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R3</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R4</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7. Forhåndsdrøfting med Datatilsynet (art. 36)</w:t>
      </w:r>
    </w:p>
    <w:p>
      <w:pPr>
        <w:spacing w:after="120"/>
      </w:pPr>
      <w:r>
        <w:t xml:space="preserve">Gjenstår høy risiko etter tiltak? </w:t>
      </w:r>
      <w:r>
        <w:rPr>
          <w:highlight w:val="yellow"/>
          <w:highlightCs w:val="yellow"/>
        </w:rPr>
        <w:t xml:space="preserve">[Ja/Nei]</w:t>
      </w:r>
    </w:p>
    <w:p>
      <w:pPr>
        <w:spacing w:after="120"/>
      </w:pPr>
      <w:r>
        <w:t xml:space="preserve">Hvis ja: send anmodning om forhåndsdrøfting til Datatilsynet før behandlingen starter, med opplysningene som kreves i artikkel 36 nr. 3 (ansvarsfordeling, formål og midler, tiltak og garantier, kontaktopplysninger til personvernombudet og denne vurderingen). Dato for anmodning og Datatilsynets saksnummer: </w:t>
      </w:r>
      <w:r>
        <w:rPr>
          <w:highlight w:val="yellow"/>
          <w:highlightCs w:val="yellow"/>
        </w:rPr>
        <w:t xml:space="preserve">[ ]</w:t>
      </w:r>
    </w:p>
    <w:p>
      <w:pPr>
        <w:pStyle w:val="Heading1"/>
      </w:pPr>
      <w:r>
        <w:t xml:space="preserve">8. Innspill</w:t>
      </w:r>
    </w:p>
    <w:p>
      <w:pPr>
        <w:pStyle w:val="Heading3"/>
      </w:pPr>
      <w:r>
        <w:t xml:space="preserve">8.1 Personvernombudets råd (art. 35 nr. 2)</w:t>
      </w:r>
    </w:p>
    <w:p>
      <w:pPr>
        <w:spacing w:after="120"/>
      </w:pPr>
      <w:r>
        <w:rPr>
          <w:highlight w:val="yellow"/>
          <w:highlightCs w:val="yellow"/>
        </w:rPr>
        <w:t xml:space="preserve">[Dato og sammendrag av personvernombudets råd. Angi hvordan rådene er fulgt opp, eller hvorfor de ikke er fulgt.]</w:t>
      </w:r>
    </w:p>
    <w:p>
      <w:pPr>
        <w:pStyle w:val="Heading3"/>
      </w:pPr>
      <w:r>
        <w:t xml:space="preserve">8.2 Synspunkter fra de registrerte eller deres representanter (art. 35 nr. 9)</w:t>
      </w:r>
    </w:p>
    <w:p>
      <w:pPr>
        <w:spacing w:after="120"/>
      </w:pPr>
      <w:r>
        <w:rPr>
          <w:highlight w:val="yellow"/>
          <w:highlightCs w:val="yellow"/>
        </w:rPr>
        <w:t xml:space="preserve">[For eksempel studentdemokratiet, tillitsvalgte eller en referansegruppe. Er det ikke innhentet synspunkter, begrunn hvorfor.]</w:t>
      </w:r>
    </w:p>
    <w:p>
      <w:pPr>
        <w:pStyle w:val="Heading3"/>
      </w:pPr>
      <w:r>
        <w:t xml:space="preserve">8.3 Bistand fra databehandleren (art. 28 nr. 3 bokstav f)</w:t>
      </w:r>
    </w:p>
    <w:p>
      <w:pPr>
        <w:spacing w:after="120"/>
      </w:pPr>
      <w:r>
        <w:rPr>
          <w:highlight w:val="yellow"/>
          <w:highlightCs w:val="yellow"/>
        </w:rPr>
        <w:t xml:space="preserve">[Hvilken dokumentasjon leverandøren har gitt]</w:t>
      </w:r>
    </w:p>
    <w:p>
      <w:pPr>
        <w:pStyle w:val="Heading1"/>
      </w:pPr>
      <w:r>
        <w:t xml:space="preserve">9. Samlet vurdering og beslutning</w:t>
      </w:r>
    </w:p>
    <w:p>
      <w:pPr>
        <w:spacing w:after="120"/>
      </w:pPr>
      <w:r>
        <w:t xml:space="preserve">Samlet vurdering: </w:t>
      </w:r>
      <w:r>
        <w:rPr>
          <w:highlight w:val="yellow"/>
          <w:highlightCs w:val="yellow"/>
        </w:rPr>
        <w:t xml:space="preserve">[Behandlingen kan gjennomføres med tiltakene i del 6 / kan ikke gjennomføres / krever forhåndsdrøfting.]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Beslutning</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Fylles ut</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Beslutningstaker (etter delegeringsreglement)</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og stilling]</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Dato</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[DD.MM.ÅÅÅÅ]</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Vilkår for beslutningen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10. Oppfølging (art. 35 nr. 11)</w:t>
      </w:r>
    </w:p>
    <w:p>
      <w:pPr>
        <w:spacing w:after="120"/>
      </w:pPr>
      <w:r>
        <w:t xml:space="preserve">Vurderingen skal gjennomgås ved behov, i alle fall når risikoen endres, for eksempel ved ny funksjonalitet, nye formål, nye underdatabehandlere, endrede vilkår hos leverandøren eller et brudd på personopplysningssikkerheten.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44"/>
        <w:gridCol w:w="2888"/>
        <w:gridCol w:w="2888"/>
        <w:gridCol w:w="1805"/>
      </w:tblGrid>
      <w:tr>
        <w:trPr>
          <w:tblHeader/>
        </w:trPr>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Dato</w:t>
            </w:r>
          </w:p>
        </w:tc>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Grunn til gjennomgang</w:t>
            </w:r>
          </w:p>
        </w:tc>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Endringer</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Gjennomgått av</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Tillegg A. KI-systemer</w:t>
      </w:r>
    </w:p>
    <w:p>
      <w:pPr>
        <w:spacing w:after="120"/>
      </w:pPr>
      <w:r>
        <w:t xml:space="preserve">Fylles ut når behandlingen skjer ved hjelp av et KI-system.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062"/>
        <w:gridCol w:w="4964"/>
      </w:tblGrid>
      <w:tr>
        <w:trPr>
          <w:tblHeader/>
        </w:trPr>
        <w:tc>
          <w:tcPr>
            <w:tcW w:type="dxa" w:w="406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Spørsmål</w:t>
            </w:r>
          </w:p>
        </w:tc>
        <w:tc>
          <w:tcPr>
            <w:tcW w:type="dxa" w:w="49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Svar</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Leverandør, systemets navn og versjon</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Abonnement eller avtale vurderingen gjelder (gratisversjon, utdanningsavtale, bedriftsavtale)</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Kan systemet bli et høyrisikosystem etter KI-forordningen vedlegg III punkt 3 (opptak, evaluering av læringsutbytte, vurdering av utdanningsnivå, overvåking under prøver)?</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[Ja/Nei, begrunnelse]</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Bruker leverandøren inndata eller utdata til å trene eller forbedre modeller?</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Er leverandørens bruksanvisning og informasjon etter KI-forordningen artikkel 13 brukt i denne vurderingen (artikkel 26 nr. 9)?</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Hvordan sikres menneskelig kontroll med resultater som påvirker enkeltpersoner?</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Hvordan informeres de som berøres?</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Tillegg B. Vurdering av konsekvenser for grunnleggende rettigheter (KI-forordningen art. 27)</w:t>
      </w:r>
    </w:p>
    <w:p>
      <w:pPr>
        <w:pBdr>
          <w:left w:val="single" w:color="F59E0B" w:sz="18" w:space="8"/>
        </w:pBdr>
        <w:shd w:fill="FFFBEB" w:color="auto" w:val="clear"/>
        <w:spacing w:after="160" w:before="120"/>
      </w:pPr>
      <w:r>
        <w:rPr>
          <w:i/>
          <w:iCs/>
        </w:rPr>
        <w:t xml:space="preserve">KI-forordningen er per oktober 2026 ikke innlemmet i EØS-avtalen og gjelder derfor ennå ikke i Norge. I EU gjelder artikkel 27 for offentligrettslige organer og private som yter offentlige tjenester, før de tar i bruk et høyrisikosystem etter artikkel 6 nr. 2 (med visse unntak). For systemer i vedlegg III gjelder kravet i EU fra 2. desember 2027 etter forordning (EU) 2026/1744. Det er adgang til å vise til relevante deler av DPIA-en. Resultatet skal meldes til markedstilsynsmyndigheten. Tillegget kan fylles ut nå som forberedelse.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062"/>
        <w:gridCol w:w="4964"/>
      </w:tblGrid>
      <w:tr>
        <w:trPr>
          <w:tblHeader/>
        </w:trPr>
        <w:tc>
          <w:tcPr>
            <w:tcW w:type="dxa" w:w="406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Krav i artikkel 27 nr. 1</w:t>
            </w:r>
          </w:p>
        </w:tc>
        <w:tc>
          <w:tcPr>
            <w:tcW w:type="dxa" w:w="49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Beskrivelse eller henvisning</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 Prosessene der systemet skal brukes</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 Tidsrom og hyppighet for bruken</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 Kategorier av personer og grupper som sannsynligvis berøres</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 Konkrete risikoer for skade for disse gruppene</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 Tiltak for menneskelig tilsyn i tråd med bruksanvisningen</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 Tiltak hvis risikoene inntreffer, intern styring og klageordninger</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Mal fra validemic.com. Ikke juridisk rådgivning: la personvernombudet eller en jurist gå gjennom malen før bruk.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Vurdering av personvernkonsekvenser (DPIA)</dc:title>
  <dc:creator>Validemic</dc:creator>
  <cp:lastModifiedBy>Un-named</cp:lastModifiedBy>
  <cp:revision>1</cp:revision>
  <dcterms:created xsi:type="dcterms:W3CDTF">2026-10-07T02:31:32.515Z</dcterms:created>
  <dcterms:modified xsi:type="dcterms:W3CDTF">2026-10-07T02:31:32.515Z</dcterms:modified>
</cp:coreProperties>
</file>

<file path=docProps/custom.xml><?xml version="1.0" encoding="utf-8"?>
<Properties xmlns="http://schemas.openxmlformats.org/officeDocument/2006/custom-properties" xmlns:vt="http://schemas.openxmlformats.org/officeDocument/2006/docPropsVTypes"/>
</file>