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Gegevensbeschermingseffectbeoordeling (DPIA)</w:t>
      </w:r>
    </w:p>
    <w:p>
      <w:pPr>
        <w:spacing w:after="240"/>
      </w:pPr>
      <w:r>
        <w:rPr>
          <w:color w:val="64748B"/>
        </w:rPr>
        <w:t xml:space="preserve">Model voor universiteiten en hogescholen op grond van artikel 35 AVG, ingedeeld volgens de 17 punten van het Model DPIA Rijksdienst. Versie van validemic.com, oktober 2026.</w:t>
      </w:r>
    </w:p>
    <w:p>
      <w:pPr>
        <w:pBdr>
          <w:left w:val="single" w:color="F59E0B" w:sz="18" w:space="8"/>
        </w:pBdr>
        <w:shd w:fill="FFFBEB" w:color="auto" w:val="clear"/>
        <w:spacing w:after="160" w:before="120"/>
      </w:pPr>
      <w:r>
        <w:rPr>
          <w:i/>
          <w:iCs/>
        </w:rPr>
        <w:t xml:space="preserve">Zo gebruikt u dit model: vul alles in wat tussen </w:t>
      </w:r>
      <w:r>
        <w:rPr>
          <w:i/>
          <w:iCs/>
          <w:highlight w:val="yellow"/>
          <w:highlightCs w:val="yellow"/>
        </w:rPr>
        <w:t xml:space="preserve">[vierkante haken]</w:t>
      </w:r>
      <w:r>
        <w:rPr>
          <w:i/>
          <w:iCs/>
        </w:rPr>
        <w:t xml:space="preserve"> staat. Deel 0 (voortoets) kunt u los gebruiken om vast te leggen waarom een DPIA wel of niet nodig is. Voer de DPIA uit voordat de verwerking begint en vraag het advies van de FG (art. 35 lid 2 AVG). De indeling volgt de 17 punten van het Model DPIA Rijksdienst; raadpleeg deel III (toelichting) van dat model voor uitleg per punt. Dit model is geen juridisch advies. Verwijder dit kader zodra het document is ingevuld.</w:t>
      </w:r>
    </w:p>
    <w:p>
      <w:pPr>
        <w:pStyle w:val="Heading1"/>
      </w:pPr>
      <w:r>
        <w:t xml:space="preserve">Vaststelling en versiebeheer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Gegeven</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Invulling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Naam van de verwerking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Inzet van een AI-transcriptiedienst voor onderzoeksinterviews]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Verwerkingsverantwoordelijke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instelling]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Eigenaar van de verwerking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[Faculteit of dienst, naam en functie]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Functionaris gegevensbescherming (FG)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of functie]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Opstellers en betrokken deskundigen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[Namen en rollen, bijvoorbeeld privacy officer, CISO, proceseigenaar, onderzoeker, inkoper]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Kenmerk</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Versie en datum</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[0.1, DD-MM-JJJJ]</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Status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[Concept / Definitief]</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Vastgesteld door en datum</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functie, DD-MM-JJJJ]</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Datum volgende herbeoordeling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[DD-MM-JJJJ, uiterlijk drie jaar na vaststelling]</w:t>
            </w:r>
          </w:p>
        </w:tc>
      </w:tr>
    </w:tbl>
    <w:p/>
    <w:p>
      <w:pPr>
        <w:pStyle w:val="Heading1"/>
      </w:pPr>
      <w:r>
        <w:t xml:space="preserve">Managementsamenvatting</w:t>
      </w:r>
    </w:p>
    <w:p>
      <w:pPr>
        <w:spacing w:after="120"/>
      </w:pPr>
      <w:r>
        <w:rPr>
          <w:highlight w:val="yellow"/>
          <w:highlightCs w:val="yellow"/>
        </w:rPr>
        <w:t xml:space="preserve">[Beschrijf in maximaal een halve pagina: wat de verwerking inhoudt, waarom de DPIA is uitgevoerd, de belangrijkste risico's, de afgesproken maatregelen, de restrisico's en het besluit. Deze samenvatting kunt u ook publiceren.]</w:t>
      </w:r>
    </w:p>
    <w:p>
      <w:pPr>
        <w:pStyle w:val="Heading1"/>
      </w:pPr>
      <w:r>
        <w:t xml:space="preserve">0. Voortoets: is een DPIA verplicht?</w:t>
      </w:r>
    </w:p>
    <w:p>
      <w:pPr>
        <w:pStyle w:val="Heading3"/>
      </w:pPr>
      <w:r>
        <w:t xml:space="preserve">0.1 Artikel 35 lid 3 AVG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1264"/>
        <w:gridCol w:w="3069"/>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Geval</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Van toepassing?</w:t>
            </w:r>
          </w:p>
        </w:tc>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Toelichting</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Systematische en uitgebreide beoordeling van persoonlijke aspecten op basis van geautomatiseerde verwerking, waaronder profilering, met besluiten die rechtsgevolgen hebben of mensen op vergelijkbare wijze wezenlijk treffen</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Grootschalige verwerking van bijzondere persoonsgegevens (art. 9) of strafrechtelijke gegevens (art. 10)</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Stelselmatige en grootschalige monitoring van openbaar toegankelijke ruimten</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0.2 Lijst verplichte DPIA van de Autoriteit Persoonsgegevens</w:t>
      </w:r>
    </w:p>
    <w:p>
      <w:pPr>
        <w:spacing w:after="120"/>
      </w:pPr>
      <w:r>
        <w:t xml:space="preserve">Staat de verwerking in een van de 17 categorieën van het Besluit lijst verwerkingen persoonsgegevens waarvoor een DPIA verplicht is (AP, 2019)? Voor het hoger onderwijs zijn vooral relevant: 7 gezondheidsgegevens, 11 controle werknemers, 12 locatiegegevens, 13 communicatiegegevens, 15 profilering, 16 observatie en beïnvloeding van gedrag en 17 biometrische gegevens.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1264"/>
        <w:gridCol w:w="3069"/>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Categorie AP-lijst</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Van toepassing?</w:t>
            </w:r>
          </w:p>
        </w:tc>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Toelichting</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[Nummer en naam van de categorie]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0.3 De negen criteria (WP248 rev.01, overgenomen door het EDPB)</w:t>
      </w:r>
    </w:p>
    <w:p>
      <w:pPr>
        <w:spacing w:after="120"/>
      </w:pPr>
      <w:r>
        <w:t xml:space="preserve">Vuistregel: voldoet de verwerking aan twee of meer criteria, dan is een DPIA in de meeste gevallen verplicht. Ook bij nul of één criterium moet u onderbouwen waarom u geen DPIA uitvoert.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1264"/>
        <w:gridCol w:w="3069"/>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Criterium</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Van toepassing?</w:t>
            </w:r>
          </w:p>
        </w:tc>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Toelichting</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Evaluatie of scoretoekenning, waaronder profilering en voorspelling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Geautomatiseerde besluitvorming met rechtsgevolg of vergelijkbaar wezenlijk gevolg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Stelselmatige monitoring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 Gevoelige gegevens of gegevens van zeer persoonlijke aard</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Verwerking op grote schaal</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6. Matching of samenvoeging van datasets</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7. Gegevens over kwetsbare betrokkenen (bijvoorbeeld studenten in een afhankelijke positie, werknemers)</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8. Innovatief gebruik of toepassing van nieuwe technologische of organisatorische oplossingen (bijvoorbeeld generatieve AI)</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9. De verwerking verhindert betrokkenen een recht uit te oefenen of gebruik te maken van een dienst of overeenkomst</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[Ja/Nee]</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0.4 Conclusie voortoets</w:t>
      </w:r>
    </w:p>
    <w:p>
      <w:pPr>
        <w:spacing w:after="120"/>
      </w:pPr>
      <w:r>
        <w:rPr>
          <w:highlight w:val="yellow"/>
          <w:highlightCs w:val="yellow"/>
        </w:rPr>
        <w:t xml:space="preserve">[DPIA verplicht / DPIA niet verplicht maar wel uitgevoerd / geen DPIA. Motiveer de conclusie, met datum en naam. Bestaat er al een DPIA voor een vergelijkbare verwerking, of een referentie-DPIA van SURF, vermeld die hier.]</w:t>
      </w:r>
    </w:p>
    <w:p>
      <w:pPr>
        <w:pStyle w:val="Heading1"/>
      </w:pPr>
      <w:r>
        <w:t xml:space="preserve">A. Beschrijving van de kenmerken van de gegevensverwerkingen</w:t>
      </w:r>
    </w:p>
    <w:p>
      <w:pPr>
        <w:pStyle w:val="Heading2"/>
      </w:pPr>
      <w:r>
        <w:t xml:space="preserve">1. Voorstel</w:t>
      </w:r>
    </w:p>
    <w:p>
      <w:pPr>
        <w:spacing w:after="120"/>
      </w:pPr>
      <w:r>
        <w:rPr>
          <w:highlight w:val="yellow"/>
          <w:highlightCs w:val="yellow"/>
        </w:rPr>
        <w:t xml:space="preserve">[Beschrijf op hoofdlijnen de verwerking, de aanleiding, of zij een bestaande situatie vervangt, welke onderdelen van de instelling betrokken zijn en hoe privacy by design en by default zijn toegepast. Geef ook aan waar de DPIA niet over gaat.]</w:t>
      </w:r>
    </w:p>
    <w:p>
      <w:pPr>
        <w:pStyle w:val="Heading2"/>
      </w:pPr>
      <w:r>
        <w:t xml:space="preserve">2. Persoonsgegevens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3159"/>
        <w:gridCol w:w="2257"/>
        <w:gridCol w:w="1805"/>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Categorie</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Persoonsgegevens</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Betrokkenen</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Bron</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Gewoon</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naam, studentnummer, e-mailadres]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[Studenten]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[Studentinformatiesysteem]</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Gevoelig</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studievoortgang, inhoud van gesprekken, locatiegegevens]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Bijzonder (art. 9)</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gezondheid, biometrische gegevens voor identificatie]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Strafrechtelijk (art. 10)</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Wettelijk identificatienummer</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BSN]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3. Gegevensverwerkingen</w:t>
      </w:r>
    </w:p>
    <w:p>
      <w:pPr>
        <w:spacing w:after="120"/>
      </w:pPr>
      <w:r>
        <w:rPr>
          <w:highlight w:val="yellow"/>
          <w:highlightCs w:val="yellow"/>
        </w:rPr>
        <w:t xml:space="preserve">[Noem alle verwerkingen (bijvoorbeeld verzamelen, opslaan, analyseren, delen, verwijderen) en welke categorieën persoonsgegevens per verwerking worden gebruikt. Voeg desgewenst een gegevensstroomschema toe.]</w:t>
      </w:r>
    </w:p>
    <w:p>
      <w:pPr>
        <w:pStyle w:val="Heading2"/>
      </w:pPr>
      <w:r>
        <w:t xml:space="preserve">4. Technieken en methoden</w:t>
      </w:r>
    </w:p>
    <w:p>
      <w:pPr>
        <w:spacing w:after="120"/>
      </w:pPr>
      <w:r>
        <w:rPr>
          <w:highlight w:val="yellow"/>
          <w:highlightCs w:val="yellow"/>
        </w:rPr>
        <w:t xml:space="preserve">[Beschrijf de gebruikte systemen en methoden. Geef aan of sprake is van (semi-)geautomatiseerde besluitvorming, profilering, een clouddienst, AI-modellen of big data-analyse, en zo ja, hoe dat werkt. Vermeld of de leverancier invoer of uitvoer gebruikt om eigen modellen te trainen.]</w:t>
      </w:r>
    </w:p>
    <w:p>
      <w:pPr>
        <w:pStyle w:val="Heading2"/>
      </w:pPr>
      <w:r>
        <w:t xml:space="preserve">5. Verwerkingsdoeleinden</w:t>
      </w:r>
    </w:p>
    <w:p>
      <w:pPr>
        <w:spacing w:after="120"/>
      </w:pPr>
      <w:r>
        <w:rPr>
          <w:highlight w:val="yellow"/>
          <w:highlightCs w:val="yellow"/>
        </w:rPr>
        <w:t xml:space="preserve">[Beschrijf per verwerking het doel, zo concreet mogelijk.]</w:t>
      </w:r>
    </w:p>
    <w:p>
      <w:pPr>
        <w:pStyle w:val="Heading2"/>
      </w:pPr>
      <w:r>
        <w:t xml:space="preserve">6. Betrokken partijen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4062"/>
        <w:gridCol w:w="2708"/>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Partij</w:t>
            </w:r>
          </w:p>
        </w:tc>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 (verwerkingsverantwoordelijke, gezamenlijk verwerkingsverantwoordelijke, verwerker, subverwerker, ontvanger, derde)</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Toegang tot welke gegevens</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[Instelling]</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[Verwerkingsverantwoordelijke]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[Functies of afdelingen]</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[Leverancier]</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[Verwerker, verwerkersovereenkomst d.d.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[Subverwerkers]</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7. Belangen bij de gegevensverwerkingen</w:t>
      </w:r>
    </w:p>
    <w:p>
      <w:pPr>
        <w:spacing w:after="120"/>
      </w:pPr>
      <w:r>
        <w:rPr>
          <w:highlight w:val="yellow"/>
          <w:highlightCs w:val="yellow"/>
        </w:rPr>
        <w:t xml:space="preserve">[Beschrijf de belangen van de instelling, de betrokkenen en andere partijen. Hebt u studenten, medewerkers of hun vertegenwoordigers (bijvoorbeeld de universiteitsraad, medezeggenschapsraad of ondernemingsraad) om hun mening gevraagd (art. 35 lid 9 AVG)? Zo ja, vat die samen; zo nee, motiveer waarom niet.]</w:t>
      </w:r>
    </w:p>
    <w:p>
      <w:pPr>
        <w:pStyle w:val="Heading2"/>
      </w:pPr>
      <w:r>
        <w:t xml:space="preserve">8. Verwerkingslocaties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805"/>
        <w:gridCol w:w="2708"/>
        <w:gridCol w:w="252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Partij</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Land of regio</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Doorgiftemechanisme (art. 45 tot en met 49 AVG)</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Aanvullende maatregelen / DTIA</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adequaatheidsbesluit, standaardcontractbepalingen]</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9. Juridisch en beleidsmatig kader</w:t>
      </w:r>
    </w:p>
    <w:p>
      <w:pPr>
        <w:spacing w:after="120"/>
      </w:pPr>
      <w:r>
        <w:rPr>
          <w:highlight w:val="yellow"/>
          <w:highlightCs w:val="yellow"/>
        </w:rPr>
        <w:t xml:space="preserve">[Noem relevante wet- en regelgeving en beleid naast de AVG, bijvoorbeeld de WHW, de UAVG, de AI-verordening, het informatiebeveiligingsbeleid, het AI-beleid en het onderzoeksdatabeleid van de instelling.]</w:t>
      </w:r>
    </w:p>
    <w:p>
      <w:pPr>
        <w:pStyle w:val="Heading2"/>
      </w:pPr>
      <w:r>
        <w:t xml:space="preserve">10. Bewaartermijnen</w:t>
      </w:r>
    </w:p>
    <w:p>
      <w:pPr>
        <w:spacing w:after="120"/>
      </w:pPr>
      <w:r>
        <w:rPr>
          <w:highlight w:val="yellow"/>
          <w:highlightCs w:val="yellow"/>
        </w:rPr>
        <w:t xml:space="preserve">[Bepaal per categorie de bewaartermijn, motiveer waarom die niet langer is dan nodig, en beschrijf wie toeziet op verwijdering of archivering, ook bij de leverancier.]</w:t>
      </w:r>
    </w:p>
    <w:p>
      <w:pPr>
        <w:pStyle w:val="Heading1"/>
      </w:pPr>
      <w:r>
        <w:t xml:space="preserve">B. Beoordeling van de rechtmatigheid</w:t>
      </w:r>
    </w:p>
    <w:p>
      <w:pPr>
        <w:pStyle w:val="Heading2"/>
      </w:pPr>
      <w:r>
        <w:t xml:space="preserve">11. Rechtsgrond</w:t>
      </w:r>
    </w:p>
    <w:p>
      <w:pPr>
        <w:spacing w:after="120"/>
      </w:pPr>
      <w:r>
        <w:rPr>
          <w:highlight w:val="yellow"/>
          <w:highlightCs w:val="yellow"/>
        </w:rPr>
        <w:t xml:space="preserve">[Noem per verwerking de grondslag uit art. 6 lid 1 AVG en licht toe hoe aan de voorwaarden wordt voldaan. Let op: bij toestemming van studenten of medewerkers is de vrijheid van die toestemming vaak twijfelachtig.]</w:t>
      </w:r>
    </w:p>
    <w:p>
      <w:pPr>
        <w:pStyle w:val="Heading2"/>
      </w:pPr>
      <w:r>
        <w:t xml:space="preserve">12. Bijzondere persoonsgegevens</w:t>
      </w:r>
    </w:p>
    <w:p>
      <w:pPr>
        <w:spacing w:after="120"/>
      </w:pPr>
      <w:r>
        <w:rPr>
          <w:highlight w:val="yellow"/>
          <w:highlightCs w:val="yellow"/>
        </w:rPr>
        <w:t xml:space="preserve">[Welke uitzondering op het verwerkingsverbod (art. 9 lid 2 AVG en de UAVG) is van toepassing? Is verwerking van een wettelijk identificatienummer toegestaan?]</w:t>
      </w:r>
    </w:p>
    <w:p>
      <w:pPr>
        <w:pStyle w:val="Heading2"/>
      </w:pPr>
      <w:r>
        <w:t xml:space="preserve">13. Doelbinding</w:t>
      </w:r>
    </w:p>
    <w:p>
      <w:pPr>
        <w:spacing w:after="120"/>
      </w:pPr>
      <w:r>
        <w:rPr>
          <w:highlight w:val="yellow"/>
          <w:highlightCs w:val="yellow"/>
        </w:rPr>
        <w:t xml:space="preserve">[Worden gegevens verder verwerkt voor een ander doel dan waarvoor ze zijn verzameld? Zo ja, beoordeel de verenigbaarheid (art. 6 lid 4 AVG).]</w:t>
      </w:r>
    </w:p>
    <w:p>
      <w:pPr>
        <w:pStyle w:val="Heading2"/>
      </w:pPr>
      <w:r>
        <w:t xml:space="preserve">14. Noodzaak en evenredigheid</w:t>
      </w:r>
    </w:p>
    <w:p>
      <w:pPr>
        <w:spacing w:after="120"/>
      </w:pPr>
      <w:r>
        <w:rPr>
          <w:b/>
          <w:bCs/>
        </w:rPr>
        <w:t xml:space="preserve">Proportionaliteit:</w:t>
      </w:r>
      <w:r>
        <w:t xml:space="preserve"> </w:t>
      </w:r>
      <w:r>
        <w:rPr>
          <w:highlight w:val="yellow"/>
          <w:highlightCs w:val="yellow"/>
        </w:rPr>
        <w:t xml:space="preserve">[Staat de inbreuk op de persoonlijke levenssfeer in verhouding tot het doel?]</w:t>
      </w:r>
    </w:p>
    <w:p>
      <w:pPr>
        <w:spacing w:after="120"/>
      </w:pPr>
      <w:r>
        <w:rPr>
          <w:b/>
          <w:bCs/>
        </w:rPr>
        <w:t xml:space="preserve">Subsidiariteit:</w:t>
      </w:r>
      <w:r>
        <w:t xml:space="preserve"> </w:t>
      </w:r>
      <w:r>
        <w:rPr>
          <w:highlight w:val="yellow"/>
          <w:highlightCs w:val="yellow"/>
        </w:rPr>
        <w:t xml:space="preserve">[Kan het doel redelijkerwijs op een minder ingrijpende manier worden bereikt? Welke alternatieven zijn overwogen?]</w:t>
      </w:r>
    </w:p>
    <w:p>
      <w:pPr>
        <w:pStyle w:val="Heading2"/>
      </w:pPr>
      <w:r>
        <w:t xml:space="preserve">15. Rechten van betrokkenen</w:t>
      </w:r>
    </w:p>
    <w:p>
      <w:pPr>
        <w:spacing w:after="120"/>
      </w:pPr>
      <w:r>
        <w:rPr>
          <w:highlight w:val="yellow"/>
          <w:highlightCs w:val="yellow"/>
        </w:rPr>
        <w:t xml:space="preserve">[Beschrijf hoe inzage, rectificatie, verwijdering, beperking, overdraagbaarheid, bezwaar en de rechten rond geautomatiseerde besluitvorming worden gefaciliteerd, ook als de gegevens bij de leverancier staan.]</w:t>
      </w:r>
    </w:p>
    <w:p>
      <w:pPr>
        <w:pStyle w:val="Heading1"/>
      </w:pPr>
      <w:r>
        <w:t xml:space="preserve">C. Beschrijving en beoordeling van de risico's</w:t>
      </w:r>
    </w:p>
    <w:p>
      <w:pPr>
        <w:pStyle w:val="Heading2"/>
      </w:pPr>
      <w:r>
        <w:t xml:space="preserve">16. Risico's voor betrokkenen</w:t>
      </w:r>
    </w:p>
    <w:p>
      <w:pPr>
        <w:spacing w:after="120"/>
      </w:pPr>
      <w:r>
        <w:t xml:space="preserve">Bepaal per risico de kans en de impact (laag, gemiddeld, hoog). Het risiconiveau volgt uit kans x impact.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3069"/>
        <w:gridCol w:w="2166"/>
        <w:gridCol w:w="1083"/>
        <w:gridCol w:w="1083"/>
        <w:gridCol w:w="1083"/>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Risico (negatief gevolg voor rechten en vrijheden)</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Oorsprong</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Kans</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Impact</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Risiconiveau</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onterechte verdenking van fraude door automatische detectie]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onbevoegde toegang tot opnamen van interviews]</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D. Voorgenomen maatregelen</w:t>
      </w:r>
    </w:p>
    <w:p>
      <w:pPr>
        <w:pStyle w:val="Heading2"/>
      </w:pPr>
      <w:r>
        <w:t xml:space="preserve">17. Maatregelen en restrisico's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4152"/>
        <w:gridCol w:w="1986"/>
        <w:gridCol w:w="1805"/>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Risico</w:t>
            </w:r>
          </w:p>
        </w:tc>
        <w:tc>
          <w:tcPr>
            <w:tcW w:type="dxa" w:w="415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Maatregel (technisch, organisatorisch, juridisch)</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Eigenaar en termijn</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Restrisico</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[L/G/H]</w:t>
            </w:r>
          </w:p>
        </w:tc>
      </w:tr>
    </w:tbl>
    <w:p/>
    <w:p>
      <w:pPr>
        <w:spacing w:after="120"/>
      </w:pPr>
      <w:r>
        <w:rPr>
          <w:highlight w:val="yellow"/>
          <w:highlightCs w:val="yellow"/>
        </w:rPr>
        <w:t xml:space="preserve">[Licht toe welke hoge restrisico's overblijven, in welke situaties, hoe waarschijnlijk ze zijn en welke schade kan ontstaan.]</w:t>
      </w:r>
    </w:p>
    <w:p>
      <w:pPr>
        <w:pStyle w:val="Heading1"/>
      </w:pPr>
      <w:r>
        <w:t xml:space="preserve">E. Advies, besluit en vervolg</w:t>
      </w:r>
    </w:p>
    <w:p>
      <w:pPr>
        <w:pStyle w:val="Heading2"/>
      </w:pPr>
      <w:r>
        <w:t xml:space="preserve">Advies van de FG</w:t>
      </w:r>
    </w:p>
    <w:p>
      <w:pPr>
        <w:spacing w:after="120"/>
      </w:pPr>
      <w:r>
        <w:rPr>
          <w:highlight w:val="yellow"/>
          <w:highlightCs w:val="yellow"/>
        </w:rPr>
        <w:t xml:space="preserve">[Datum en samenvatting van het advies van de FG, en wat de instelling ermee heeft gedaan. Volgt de instelling het advies niet, motiveer dat dan.]</w:t>
      </w:r>
    </w:p>
    <w:p>
      <w:pPr>
        <w:pStyle w:val="Heading2"/>
      </w:pPr>
      <w:r>
        <w:t xml:space="preserve">Advies CISO en andere deskundigen</w:t>
      </w:r>
    </w:p>
    <w:p>
      <w:pPr>
        <w:spacing w:after="120"/>
      </w:pPr>
      <w:r>
        <w:rPr>
          <w:highlight w:val="yellow"/>
          <w:highlightCs w:val="yellow"/>
        </w:rPr>
        <w:t xml:space="preserve">[Bijvoorbeeld informatiebeveiliging, onderzoeksdatamanagement, ethische commissie.]</w:t>
      </w:r>
    </w:p>
    <w:p>
      <w:pPr>
        <w:pStyle w:val="Heading2"/>
      </w:pPr>
      <w:r>
        <w:t xml:space="preserve">Voorafgaande raadpleging Autoriteit Persoonsgegevens</w:t>
      </w:r>
    </w:p>
    <w:p>
      <w:pPr>
        <w:spacing w:after="120"/>
      </w:pPr>
      <w:r>
        <w:rPr>
          <w:highlight w:val="yellow"/>
          <w:highlightCs w:val="yellow"/>
        </w:rPr>
        <w:t xml:space="preserve">[Blijft er na maatregelen een hoog restrisico? Zo ja: voorafgaande raadpleging aangevraagd op DD-MM-JJJJ met het aanvraagformulier van de AP, met deze DPIA en het FG-advies als bijlagen. De verwerking start niet voordat de AP de aanvraag heeft beoordeeld. Zo nee: motiveer waarom het restrisico aanvaardbaar is.]</w:t>
      </w:r>
    </w:p>
    <w:p>
      <w:pPr>
        <w:pStyle w:val="Heading2"/>
      </w:pPr>
      <w:r>
        <w:t xml:space="preserve">Samenhang met de AI-verordening (FRIA)</w:t>
      </w:r>
    </w:p>
    <w:p>
      <w:pPr>
        <w:spacing w:after="120"/>
      </w:pPr>
      <w:r>
        <w:rPr>
          <w:highlight w:val="yellow"/>
          <w:highlightCs w:val="yellow"/>
        </w:rPr>
        <w:t xml:space="preserve">[Valt de toepassing onder bijlage III, punt 3, van de AI-verordening (toelating, beoordeling van leerresultaten, bepalen van onderwijsniveau, toezicht op toetsen)? Dan is vanaf 2 december 2027 ook een beoordeling van de gevolgen voor de grondrechten nodig (art. 27 AI-verordening). Noteer welke delen van deze DPIA u daarin kunt hergebruiken.]</w:t>
      </w:r>
    </w:p>
    <w:p>
      <w:pPr>
        <w:pStyle w:val="Heading2"/>
      </w:pPr>
      <w:r>
        <w:t xml:space="preserve">Besluit</w:t>
      </w:r>
    </w:p>
    <w:p>
      <w:pPr>
        <w:spacing w:after="120"/>
      </w:pPr>
      <w:r>
        <w:rPr>
          <w:highlight w:val="yellow"/>
          <w:highlightCs w:val="yellow"/>
        </w:rPr>
        <w:t xml:space="preserve">[Besluit van de verwerkingsverantwoordelijke: doorgaan / doorgaan onder voorwaarden / niet doorgaan. Datum, naam en functie.]</w:t>
      </w:r>
    </w:p>
    <w:p>
      <w:pPr>
        <w:pStyle w:val="Heading2"/>
      </w:pPr>
      <w:r>
        <w:t xml:space="preserve">Herbeoordeling</w:t>
      </w:r>
    </w:p>
    <w:p>
      <w:pPr>
        <w:pStyle w:val="ListParagraph"/>
        <w:numPr>
          <w:ilvl w:val="0"/>
          <w:numId w:val="2"/>
        </w:numPr>
      </w:pPr>
      <w:r>
        <w:t xml:space="preserve">Herzie de DPIA bij wijziging van de verwerking, de risico's of de context, bijvoorbeeld een nieuwe functie, een nieuwe subverwerker of een ander gebruiksdoel.</w:t>
      </w:r>
    </w:p>
    <w:p>
      <w:pPr>
        <w:pStyle w:val="ListParagraph"/>
        <w:numPr>
          <w:ilvl w:val="0"/>
          <w:numId w:val="2"/>
        </w:numPr>
      </w:pPr>
      <w:r>
        <w:t xml:space="preserve">Herzie de DPIA in elk geval </w:t>
      </w:r>
      <w:r>
        <w:rPr>
          <w:highlight w:val="yellow"/>
          <w:highlightCs w:val="yellow"/>
        </w:rPr>
        <w:t xml:space="preserve">[uiterlijk drie jaar]</w:t>
      </w:r>
      <w:r>
        <w:t xml:space="preserve"> na vaststelling.</w:t>
      </w:r>
    </w:p>
    <w:p>
      <w:pPr>
        <w:pStyle w:val="ListParagraph"/>
        <w:numPr>
          <w:ilvl w:val="0"/>
          <w:numId w:val="2"/>
        </w:numPr>
      </w:pPr>
      <w:r>
        <w:t xml:space="preserve">Leg de verwerking en de DPIA vast in het register van verwerkingsactiviteiten (art. 30 AVG).</w:t>
      </w:r>
    </w:p>
    <w:p>
      <w:pPr>
        <w:pStyle w:val="Heading1"/>
      </w:pPr>
      <w:r>
        <w:t xml:space="preserve">Bijlagen</w:t>
      </w:r>
    </w:p>
    <w:p>
      <w:pPr>
        <w:pStyle w:val="ListParagraph"/>
        <w:numPr>
          <w:ilvl w:val="0"/>
          <w:numId w:val="2"/>
        </w:numPr>
      </w:pPr>
      <w:r>
        <w:rPr>
          <w:highlight w:val="yellow"/>
          <w:highlightCs w:val="yellow"/>
        </w:rPr>
        <w:t xml:space="preserve">[Verwerkersovereenkomst en lijst van subverwerkers]</w:t>
      </w:r>
    </w:p>
    <w:p>
      <w:pPr>
        <w:pStyle w:val="ListParagraph"/>
        <w:numPr>
          <w:ilvl w:val="0"/>
          <w:numId w:val="2"/>
        </w:numPr>
      </w:pPr>
      <w:r>
        <w:rPr>
          <w:highlight w:val="yellow"/>
          <w:highlightCs w:val="yellow"/>
        </w:rPr>
        <w:t xml:space="preserve">[Beveiligingsdocumentatie en certificaten van de leverancier]</w:t>
      </w:r>
    </w:p>
    <w:p>
      <w:pPr>
        <w:pStyle w:val="ListParagraph"/>
        <w:numPr>
          <w:ilvl w:val="0"/>
          <w:numId w:val="2"/>
        </w:numPr>
      </w:pPr>
      <w:r>
        <w:rPr>
          <w:highlight w:val="yellow"/>
          <w:highlightCs w:val="yellow"/>
        </w:rPr>
        <w:t xml:space="preserve">[Data transfer impact assessment (DTIA), indien van toepassing]</w:t>
      </w:r>
    </w:p>
    <w:p>
      <w:pPr>
        <w:pStyle w:val="ListParagraph"/>
        <w:numPr>
          <w:ilvl w:val="0"/>
          <w:numId w:val="2"/>
        </w:numPr>
      </w:pPr>
      <w:r>
        <w:rPr>
          <w:highlight w:val="yellow"/>
          <w:highlightCs w:val="yellow"/>
        </w:rPr>
        <w:t xml:space="preserve">[Gebruikte referentie-DPIA (bijvoorbeeld van SURF) en hoe die op de eigen situatie is toegepast]</w:t>
      </w:r>
    </w:p>
    <w:p>
      <w:pPr>
        <w:pStyle w:val="ListParagraph"/>
        <w:numPr>
          <w:ilvl w:val="0"/>
          <w:numId w:val="2"/>
        </w:numPr>
      </w:pPr>
      <w:r>
        <w:rPr>
          <w:highlight w:val="yellow"/>
          <w:highlightCs w:val="yellow"/>
        </w:rPr>
        <w:t xml:space="preserve">[Gegevensstroomschema]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Model van validemic.com. Geen juridisch advies: laat het vóór gebruik beoordelen door de jurist of FG van uw instelling.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Gegevensbeschermingseffectbeoordeling (DPIA)</dc:title>
  <dc:creator>Validemic</dc:creator>
  <cp:lastModifiedBy>Un-named</cp:lastModifiedBy>
  <cp:revision>1</cp:revision>
  <dcterms:created xsi:type="dcterms:W3CDTF">2026-10-07T02:31:32.557Z</dcterms:created>
  <dcterms:modified xsi:type="dcterms:W3CDTF">2026-10-07T02:31:32.557Z</dcterms:modified>
</cp:coreProperties>
</file>

<file path=docProps/custom.xml><?xml version="1.0" encoding="utf-8"?>
<Properties xmlns="http://schemas.openxmlformats.org/officeDocument/2006/custom-properties" xmlns:vt="http://schemas.openxmlformats.org/officeDocument/2006/docPropsVTypes"/>
</file>