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 protection impact assessment (DPIA)</w:t>
      </w:r>
    </w:p>
    <w:p>
      <w:pPr>
        <w:spacing w:after="240"/>
      </w:pPr>
      <w:r>
        <w:rPr>
          <w:color w:val="64748B"/>
        </w:rPr>
        <w:t xml:space="preserve">Template for universities under Article 35 GDPR, with screening, risk register, DPO advice and an AI Act annex. Version from validemic.com, October 2026.</w:t>
      </w:r>
    </w:p>
    <w:p>
      <w:pPr>
        <w:pBdr>
          <w:left w:val="single" w:color="F59E0B" w:sz="18" w:space="8"/>
        </w:pBdr>
        <w:shd w:fill="FFFBEB" w:color="auto" w:val="clear"/>
        <w:spacing w:after="160" w:before="120"/>
      </w:pPr>
      <w:r>
        <w:rPr>
          <w:i/>
          <w:iCs/>
        </w:rPr>
        <w:t xml:space="preserve">How to use this template: fill in everything in </w:t>
      </w:r>
      <w:r>
        <w:rPr>
          <w:i/>
          <w:iCs/>
          <w:highlight w:val="yellow"/>
          <w:highlightCs w:val="yellow"/>
        </w:rPr>
        <w:t xml:space="preserve">[square brackets]</w:t>
      </w:r>
      <w:r>
        <w:rPr>
          <w:i/>
          <w:iCs/>
        </w:rPr>
        <w:t xml:space="preserve">. Carry out the DPIA before the processing starts (Article 35(1)) and seek the DPO's advice (Article 35(2)). Section 1 can be used on its own to record that a DPIA is not required. Rows marked EXAMPLE show a remote exam proctoring deployment: delete them before use. Check whether your supervisory authority publishes its own template or method. This template is not legal advice. Delete this box when the document is complete.</w:t>
      </w:r>
    </w:p>
    <w:p>
      <w:pPr>
        <w:pStyle w:val="Heading1"/>
      </w:pPr>
      <w:r>
        <w:t xml:space="preserve">Basic information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Details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of the processing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 example: Remote proctoring for online examinations]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Controller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[University name and address]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Owner of the processing and of this DPIA</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[Unit, name and role, for example Head of Examinations]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Project team</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[Names and roles: system owner, IT security, procurement, researcher, legal]</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officer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or function, contact details]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Processors (vendors)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[Vendor names, DPA references]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Related ROPA entry</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[Reference]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Version and date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[1.0, YYYY-MM-DD]</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Next scheduled review</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[YYYY-MM-DD, and earlier if the processing, vendor or risk changes (Article 35(11))]</w:t>
            </w:r>
          </w:p>
        </w:tc>
      </w:tr>
    </w:tbl>
    <w:p/>
    <w:p>
      <w:pPr>
        <w:pStyle w:val="Heading1"/>
      </w:pPr>
      <w:r>
        <w:t xml:space="preserve">1. Screening: is a DPIA required?</w:t>
      </w:r>
    </w:p>
    <w:p>
      <w:pPr>
        <w:pStyle w:val="Heading3"/>
      </w:pPr>
      <w:r>
        <w:t xml:space="preserve">1.1 Article 35(3): a DPIA is always required in these cases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94"/>
        <w:gridCol w:w="1083"/>
        <w:gridCol w:w="3249"/>
      </w:tblGrid>
      <w:tr>
        <w:trPr>
          <w:tblHeader/>
        </w:trPr>
        <w:tc>
          <w:tcPr>
            <w:tcW w:type="dxa" w:w="469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Case</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Applies?</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Reasoning</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Systematic and extensive evaluation of personal aspects based on automated processing, including profiling, on which decisions with legal or similarly significant effects are based</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Large-scale processing of special category data (Article 9(1)) or criminal offence data (Article 10)</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Systematic monitoring of a publicly accessible area on a large scale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1.2 WP248 criteria (EDPB-endorsed guidelines)</w:t>
      </w:r>
    </w:p>
    <w:p>
      <w:pPr>
        <w:spacing w:after="120"/>
      </w:pPr>
      <w:r>
        <w:t xml:space="preserve">In most cases, processing that meets two or more criteria requires a DPIA. In some cases one criterion is enough.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94"/>
        <w:gridCol w:w="1083"/>
        <w:gridCol w:w="3249"/>
      </w:tblGrid>
      <w:tr>
        <w:trPr>
          <w:tblHeader/>
        </w:trPr>
        <w:tc>
          <w:tcPr>
            <w:tcW w:type="dxa" w:w="469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Criterion</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Met?</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Reasoning</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 Evaluation or scoring, including profiling and predicting</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Automated decision-making with legal or similar significant effect</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 Systematic monitoring</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Yes. Webcam, microphone and screen recorded during the exam.]</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 Sensitive data or data of a highly personal nature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Yes. Video of the home environment; possibly biometric data.]</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 Data processed on a large scale</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6. Matching or combining datasets</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7. Data concerning vulnerable data subjects (for example students and employees in a dependent relationship, minors, patients)</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Yes. Students depend on the university for their results.]</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8. Innovative use or new technological or organisational solutions (for example AI)</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9. Processing that prevents individuals from exercising a right or using a service or contract</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[Yes/No]</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1.3 National list (Article 35(4))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94"/>
        <w:gridCol w:w="4332"/>
      </w:tblGrid>
      <w:tr>
        <w:trPr>
          <w:tblHeader/>
        </w:trPr>
        <w:tc>
          <w:tcPr>
            <w:tcW w:type="dxa" w:w="469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433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 processing on your supervisory authority's list of processing that requires a DPIA? Which item?</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it on a list of processing that does not require a DPIA (Article 35(5))?</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69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there an existing DPIA for similar processing that can be reused (Article 35(1), last sentence)?</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[Reference, or No]</w:t>
            </w:r>
          </w:p>
        </w:tc>
      </w:tr>
    </w:tbl>
    <w:p/>
    <w:p>
      <w:pPr>
        <w:pStyle w:val="Heading3"/>
      </w:pPr>
      <w:r>
        <w:t xml:space="preserve">1.4 Screening decision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Decision</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Details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DPIA required?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If no: reasons (document why a DPIA is not needed)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DPO view on the screening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Decided by, date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role, YYYY-MM-DD]</w:t>
            </w:r>
          </w:p>
        </w:tc>
      </w:tr>
    </w:tbl>
    <w:p/>
    <w:p>
      <w:pPr>
        <w:pStyle w:val="Heading1"/>
      </w:pPr>
      <w:r>
        <w:t xml:space="preserve">2. Description of the processing (Article 35(7)(a))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Description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Purposes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[Specific purposes. EXAMPLE: Verifying candidate identity and deterring and detecting cheating in remote online examinations.]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Legitimate interest pursued (if Article 6(1)(f) is relied 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[Public authorities cannot rely on legitimate interests for processing in performing their tasks. State N/A where relevant.]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subjects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Students taking remote exams; invigilators; people who appear in the background.]</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personal data</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Name, student ID, photo of ID card, webcam video, audio, screen recording, browser activity, flags generated by the system.]</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Special category or criminal offence data</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Possibly biometric data if facial recognition is used for identity checks; incidental health data.]</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Sources of the data</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Systems and data flows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[Describe or attach a data flow diagram.]</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Recipients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[Internal roles; processors; other recipients.]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 locations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[Countries and data centres, including subprocessors.]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 category. EXAMPLE: Recordings deleted [X]</w:t>
            </w:r>
            <w:r>
              <w:t xml:space="preserve"> days after results are final, unless needed for a pending misconduct case.]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Number of data subjects and frequency</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Technology used, including AI</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[Describe any automated analysis, models and vendor AI features.]</w:t>
            </w:r>
          </w:p>
        </w:tc>
      </w:tr>
    </w:tbl>
    <w:p/>
    <w:p>
      <w:pPr>
        <w:pStyle w:val="Heading1"/>
      </w:pPr>
      <w:r>
        <w:t xml:space="preserve">3. Vendors, subprocessors and transfers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264"/>
        <w:gridCol w:w="2166"/>
        <w:gridCol w:w="1625"/>
        <w:gridCol w:w="1986"/>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or subprocessor</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Location of processing and support access</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Transfer tool</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reviewed</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[Vendor]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[Processor]</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[None / adequacy / DPF / SCCs plus assessment]</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[DPA version, subprocessor list date, security report]</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[Subprocessor]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[Sub-processor]</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Record whether the vendor uses customer data to train models, whether this can be switched off for your contract, and how the vendor will assist with this DPIA and with data subject requests (Article 28(3)(e) and (f)).</w:t>
      </w:r>
    </w:p>
    <w:p>
      <w:pPr>
        <w:pStyle w:val="Heading1"/>
      </w:pPr>
      <w:r>
        <w:t xml:space="preserve">4. Necessity and proportionality (Article 35(7)(b))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791"/>
        <w:gridCol w:w="5235"/>
      </w:tblGrid>
      <w:tr>
        <w:trPr>
          <w:tblHeader/>
        </w:trPr>
        <w:tc>
          <w:tcPr>
            <w:tcW w:type="dxa" w:w="3791"/>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523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Assessment</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Lawful basis (Article 6) and, if relevant, Article 9 condition and national law</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 processing necessary for the purpose? Could the purpose be achieved with less intrusive means?</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Alternatives considered: on-campus exams, open-book formats, oral exams. Remote proctoring offered as an option only.]</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minimisation: is each data category needed?</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 are the periods justified?</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Accuracy: how are errors, including AI errors, detected and corrected?</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Transparency: how and when are data subjects informed (Articles 13 and 14)?</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Rights: how are access, rectification, objection and other requests handled, including data held by the vendor?</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Automated decisions (Article 22): are any decisions based solely on automated processing?</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No. Every flag is reviewed by a trained examiner before any consequence.]</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International transfers: lawful and documented?</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[Refer to section 3.]</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Security measures (Article 32)</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[Summary, with reference to security documentation.]</w:t>
            </w:r>
          </w:p>
        </w:tc>
      </w:tr>
    </w:tbl>
    <w:p/>
    <w:p>
      <w:pPr>
        <w:pStyle w:val="Heading1"/>
      </w:pPr>
      <w:r>
        <w:t xml:space="preserve">5. Views of data subjects or their representatives (Article 35(9))</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805"/>
        <w:gridCol w:w="2618"/>
        <w:gridCol w:w="2618"/>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Who was consulted</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How and when</w:t>
            </w:r>
          </w:p>
        </w:tc>
        <w:tc>
          <w:tcPr>
            <w:tcW w:type="dxa" w:w="261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Views expressed</w:t>
            </w:r>
          </w:p>
        </w:tc>
        <w:tc>
          <w:tcPr>
            <w:tcW w:type="dxa" w:w="261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How the views were taken into account</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Student union]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[Meeting, YYYY-MM-DD]</w:t>
            </w:r>
          </w:p>
        </w:tc>
        <w:tc>
          <w:tcPr>
            <w:tcW w:type="dxa" w:w="26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6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[Staff representatives or works council]</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6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6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If views were not sought, explain why: </w:t>
      </w:r>
      <w:r>
        <w:rPr>
          <w:highlight w:val="yellow"/>
          <w:highlightCs w:val="yellow"/>
        </w:rPr>
        <w:t xml:space="preserve">[ ]</w:t>
      </w:r>
    </w:p>
    <w:p>
      <w:pPr>
        <w:pStyle w:val="Heading1"/>
      </w:pPr>
      <w:r>
        <w:t xml:space="preserve">6. Risks to the rights and freedoms of data subjects (Article 35(7)(c))</w:t>
      </w:r>
    </w:p>
    <w:p>
      <w:pPr>
        <w:spacing w:after="120"/>
      </w:pPr>
      <w:r>
        <w:t xml:space="preserve">Describe risks to people, not to the university. Rate likelihood and severity as Low, Medium or High, and combine them into an inherent risk level using your institution's method.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22"/>
        <w:gridCol w:w="4513"/>
        <w:gridCol w:w="1264"/>
        <w:gridCol w:w="1264"/>
        <w:gridCol w:w="1264"/>
      </w:tblGrid>
      <w:tr>
        <w:trPr>
          <w:tblHeader/>
        </w:trPr>
        <w:tc>
          <w:tcPr>
            <w:tcW w:type="dxa" w:w="72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Risk to individuals</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Likelihood</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Severity</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Inherent risk</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A student is wrongly flagged for cheating, leading to a misconduct investigation and stress.]</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[High]</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[High]</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Family members or private details in the home are recorded.]</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[High]</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[High]</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Detection performs worse for some groups, leading to discriminatory outcomes.]</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[High]</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[High]</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R4</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Recordings retained longer than needed or accessed by vendor staff outside the EEA.]</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r>
      <w:tr>
        <w:tc>
          <w:tcPr>
            <w:tcW w:type="dxa" w:w="72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R5</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7. Measures and residual risk (Article 35(7)(d))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4152"/>
        <w:gridCol w:w="1444"/>
        <w:gridCol w:w="1083"/>
        <w:gridCol w:w="1444"/>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Risk ID</w:t>
            </w:r>
          </w:p>
        </w:tc>
        <w:tc>
          <w:tcPr>
            <w:tcW w:type="dxa" w:w="415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Measure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Deadline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Residual risk</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Human review of every flag by a trained examiner; student hears the evidence and can respond; no automated analysis of behaviour.]</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[Low]</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Room scan disabled; guidance to students on positioning; on-campus alternative offered.]</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Vendor evidence on error rates by group requested; monitoring of flag rates.]</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[Medium]</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R4</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[EXAMPLE: Retention set to [X]</w:t>
            </w:r>
            <w:r>
              <w:t xml:space="preserve"> days in the contract; EEA-only processing; subprocessor change notifications monitored.]</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[Low]</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R5</w:t>
            </w:r>
          </w:p>
        </w:tc>
        <w:tc>
          <w:tcPr>
            <w:tcW w:type="dxa" w:w="415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8. DPO advice, decision and sign-off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Details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DPO advice (Article 35(2))</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[Summary of the advice, date]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Was the advice followed? If not, why not?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Does a high residual risk remain after the measures?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If yes: prior consultation with the supervisory authority (Article 36)</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 submitted, reference. Do not start the processing in the meantime.]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Decision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[Proceed / Proceed with conditions / Redesign / Do not proceed]</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Conditions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Approved by</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role, date]</w:t>
            </w:r>
          </w:p>
        </w:tc>
      </w:tr>
    </w:tbl>
    <w:p/>
    <w:p>
      <w:pPr>
        <w:pStyle w:val="Heading1"/>
      </w:pPr>
      <w:r>
        <w:t xml:space="preserve">9. AI Act annex (complete only for AI systems)</w:t>
      </w:r>
    </w:p>
    <w:p>
      <w:pPr>
        <w:spacing w:after="120"/>
      </w:pPr>
      <w:r>
        <w:t xml:space="preserve">Article 27 of the AI Act requires deployers that are bodies governed by public law, or private entities providing public services, to carry out a fundamental rights impact assessment (FRIA) before deploying a high-risk AI system referred to in Article 6(2). For Annex III systems, including education uses, this applies from 2 December 2027. Article 27(4), as amended in 2026, allows the FRIA to cross-reference the relevant sections of this DPIA. Article 26(9) requires deployers to use the provider's Article 13 information for this DPIA.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2"/>
        <w:gridCol w:w="4964"/>
      </w:tblGrid>
      <w:tr>
        <w:trPr>
          <w:tblHeader/>
        </w:trPr>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49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Answer</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the system an AI system? Provider and model</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Is it high-risk under Annex III point 3 (admission, evaluating learning outcomes, assessing level of education, monitoring students during tests) or another Annex III point?</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 / Unclear: reasoning]</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Does it infer emotions of students or staff? (prohibited in education and workplaces under Article 5(1)(f), except for medical or safety reasons)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Provider's instructions for use (Article 13) received?</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964"/>
        <w:gridCol w:w="4062"/>
      </w:tblGrid>
      <w:tr>
        <w:trPr>
          <w:tblHeader/>
        </w:trPr>
        <w:tc>
          <w:tcPr>
            <w:tcW w:type="dxa" w:w="49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FRIA element (Article 27(1))</w:t>
            </w:r>
          </w:p>
        </w:tc>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Where covered</w:t>
            </w:r>
          </w:p>
        </w:tc>
      </w:tr>
      <w:tr>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Processes in which the system will be used, in line with its intended purpose</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[DPIA section 2, plus: ]</w:t>
            </w:r>
          </w:p>
        </w:tc>
      </w:tr>
      <w:tr>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Period of time and frequency of use</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Categories of natural persons and groups likely to be affected</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[DPIA section 2, plus: ]</w:t>
            </w:r>
          </w:p>
        </w:tc>
      </w:tr>
      <w:tr>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 Specific risks of harm likely to affect those categories, taking into account the provider's information</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[DPIA section 6, plus fundamental rights beyond data protection: ]</w:t>
            </w:r>
          </w:p>
        </w:tc>
      </w:tr>
      <w:tr>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 Implementation of human oversight measures, according to the instructions for use</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 Measures if the risks materialise, including internal governance and complaint mechanisms</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[DPIA section 7, plus: ]</w:t>
            </w:r>
          </w:p>
        </w:tc>
      </w:tr>
    </w:tbl>
    <w:p/>
    <w:p>
      <w:pPr>
        <w:pStyle w:val="Heading1"/>
      </w:pPr>
      <w:r>
        <w:t xml:space="preserve">Review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4"/>
        <w:gridCol w:w="2708"/>
        <w:gridCol w:w="3159"/>
        <w:gridCol w:w="1805"/>
      </w:tblGrid>
      <w:tr>
        <w:trPr>
          <w:tblHeader/>
        </w:trPr>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Reason for review</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Changes</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Reviewed by</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[YYYY-MM-DD]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[Scheduled / vendor change / new feature / incident]</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dc:title>
  <dc:creator>Validemic</dc:creator>
  <cp:lastModifiedBy>Un-named</cp:lastModifiedBy>
  <cp:revision>1</cp:revision>
  <dcterms:created xsi:type="dcterms:W3CDTF">2026-10-07T02:31:32.593Z</dcterms:created>
  <dcterms:modified xsi:type="dcterms:W3CDTF">2026-10-07T02:31:32.594Z</dcterms:modified>
</cp:coreProperties>
</file>

<file path=docProps/custom.xml><?xml version="1.0" encoding="utf-8"?>
<Properties xmlns="http://schemas.openxmlformats.org/officeDocument/2006/custom-properties" xmlns:vt="http://schemas.openxmlformats.org/officeDocument/2006/docPropsVTypes"/>
</file>