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Subject access request (DSAR) response templates</w:t>
      </w:r>
    </w:p>
    <w:p>
      <w:pPr>
        <w:spacing w:after="240"/>
      </w:pPr>
      <w:r>
        <w:rPr>
          <w:color w:val="64748B"/>
        </w:rPr>
        <w:t xml:space="preserve">Letters and a request log for universities answering requests under Article 15 GDPR. Version from validemic.com, October 2026.</w:t>
      </w:r>
    </w:p>
    <w:p>
      <w:pPr>
        <w:pBdr>
          <w:left w:val="single" w:color="F59E0B" w:sz="18" w:space="8"/>
        </w:pBdr>
        <w:shd w:fill="FFFBEB" w:color="auto" w:val="clear"/>
        <w:spacing w:after="160" w:before="120"/>
      </w:pPr>
      <w:r>
        <w:rPr>
          <w:i/>
          <w:iCs/>
        </w:rPr>
        <w:t xml:space="preserve">How to use these templates: fill in everything in </w:t>
      </w:r>
      <w:r>
        <w:rPr>
          <w:i/>
          <w:iCs/>
          <w:highlight w:val="yellow"/>
          <w:highlightCs w:val="yellow"/>
        </w:rPr>
        <w:t xml:space="preserve">[square brackets]</w:t>
      </w:r>
      <w:r>
        <w:rPr>
          <w:i/>
          <w:iCs/>
        </w:rPr>
        <w:t xml:space="preserve"> and delete text that does not apply. Send letters through a secure channel. Adapt the wording to your national law, which may add rules on exams, research data or public sector records, and to your supervisory authority's guidance. These templates are not legal advice. Delete this box before use.</w:t>
      </w:r>
    </w:p>
    <w:p>
      <w:pPr>
        <w:pStyle w:val="Heading1"/>
      </w:pPr>
      <w:r>
        <w:t xml:space="preserve">A. Acknowledgement of receipt</w:t>
      </w:r>
    </w:p>
    <w:p>
      <w:pPr>
        <w:spacing w:after="120"/>
      </w:pPr>
      <w:r>
        <w:t xml:space="preserve">Subject: Your request for access to your personal data, reference </w:t>
      </w:r>
      <w:r>
        <w:rPr>
          <w:highlight w:val="yellow"/>
          <w:highlightCs w:val="yellow"/>
        </w:rPr>
        <w:t xml:space="preserve">[DSAR-YYYY-NNN]</w:t>
      </w:r>
    </w:p>
    <w:p>
      <w:pPr>
        <w:spacing w:after="120"/>
      </w:pPr>
      <w:r>
        <w:t xml:space="preserve">Dear </w:t>
      </w:r>
      <w:r>
        <w:rPr>
          <w:highlight w:val="yellow"/>
          <w:highlightCs w:val="yellow"/>
        </w:rPr>
        <w:t xml:space="preserve">[name]</w:t>
      </w:r>
      <w:r>
        <w:t xml:space="preserve">,</w:t>
      </w:r>
    </w:p>
    <w:p>
      <w:pPr>
        <w:spacing w:after="120"/>
      </w:pPr>
      <w:r>
        <w:t xml:space="preserve">Thank you for your request of </w:t>
      </w:r>
      <w:r>
        <w:rPr>
          <w:highlight w:val="yellow"/>
          <w:highlightCs w:val="yellow"/>
        </w:rPr>
        <w:t xml:space="preserve">[date of request]</w:t>
      </w:r>
      <w:r>
        <w:t xml:space="preserve">, which </w:t>
      </w:r>
      <w:r>
        <w:rPr>
          <w:highlight w:val="yellow"/>
          <w:highlightCs w:val="yellow"/>
        </w:rPr>
        <w:t xml:space="preserve">[university name]</w:t>
      </w:r>
      <w:r>
        <w:t xml:space="preserve"> received on </w:t>
      </w:r>
      <w:r>
        <w:rPr>
          <w:highlight w:val="yellow"/>
          <w:highlightCs w:val="yellow"/>
        </w:rPr>
        <w:t xml:space="preserve">[date of receipt]</w:t>
      </w:r>
      <w:r>
        <w:t xml:space="preserve">. We are treating it as a request for access to your personal data under Article 15 of the General Data Protection Regulation (GDPR).</w:t>
      </w:r>
    </w:p>
    <w:p>
      <w:pPr>
        <w:spacing w:after="120"/>
      </w:pPr>
      <w:r>
        <w:t xml:space="preserve">We will respond without undue delay and at the latest by </w:t>
      </w:r>
      <w:r>
        <w:rPr>
          <w:highlight w:val="yellow"/>
          <w:highlightCs w:val="yellow"/>
        </w:rPr>
        <w:t xml:space="preserve">[date: one month after receipt; if that day falls on a weekend or public holiday, the next working day]</w:t>
      </w:r>
      <w:r>
        <w:t xml:space="preserve">. If your request turns out to be complex, we may need to extend this period by up to two further months. If so, we will tell you before </w:t>
      </w:r>
      <w:r>
        <w:rPr>
          <w:highlight w:val="yellow"/>
          <w:highlightCs w:val="yellow"/>
        </w:rPr>
        <w:t xml:space="preserve">[same date]</w:t>
      </w:r>
      <w:r>
        <w:t xml:space="preserve"> and explain why.</w:t>
      </w:r>
    </w:p>
    <w:p>
      <w:pPr>
        <w:spacing w:after="120"/>
      </w:pPr>
      <w:r>
        <w:rPr>
          <w:highlight w:val="yellow"/>
          <w:highlightCs w:val="yellow"/>
        </w:rPr>
        <w:t xml:space="preserve">[Optional, only if we process a large quantity of information about you:]</w:t>
      </w:r>
      <w:r>
        <w:t xml:space="preserve"> To help us answer quickly, you may tell us whether your request concerns particular information or activities, for example </w:t>
      </w:r>
      <w:r>
        <w:rPr>
          <w:highlight w:val="yellow"/>
          <w:highlightCs w:val="yellow"/>
        </w:rPr>
        <w:t xml:space="preserve">[study records and examinations / employment and HR records / a specific research project / emails relating to a specific matter]</w:t>
      </w:r>
      <w:r>
        <w:t xml:space="preserve">. You do not have to narrow your request. If you would like everything we hold, we will provide it.</w:t>
      </w:r>
    </w:p>
    <w:p>
      <w:pPr>
        <w:spacing w:after="120"/>
      </w:pPr>
      <w:r>
        <w:t xml:space="preserve">Please quote the reference above in any correspondence. If you have questions, contact </w:t>
      </w:r>
      <w:r>
        <w:rPr>
          <w:highlight w:val="yellow"/>
          <w:highlightCs w:val="yellow"/>
        </w:rPr>
        <w:t xml:space="preserve">[privacy team, email address]</w:t>
      </w:r>
      <w:r>
        <w:t xml:space="preserve">.</w:t>
      </w:r>
    </w:p>
    <w:p>
      <w:pPr>
        <w:spacing w:after="120"/>
      </w:pPr>
      <w:r>
        <w:t xml:space="preserve">Kind regards,
</w:t>
      </w:r>
      <w:r>
        <w:rPr>
          <w:highlight w:val="yellow"/>
          <w:highlightCs w:val="yellow"/>
        </w:rPr>
        <w:t xml:space="preserve">[Name, role]</w:t>
      </w:r>
      <w:r>
        <w:t xml:space="preserve">
</w:t>
      </w:r>
      <w:r>
        <w:rPr>
          <w:highlight w:val="yellow"/>
          <w:highlightCs w:val="yellow"/>
        </w:rPr>
        <w:t xml:space="preserve">[University name, privacy team or data protection officer]</w:t>
      </w:r>
    </w:p>
    <w:p>
      <w:pPr>
        <w:pStyle w:val="Heading1"/>
      </w:pPr>
      <w:r>
        <w:t xml:space="preserve">B. Request for information to confirm identity</w:t>
      </w:r>
    </w:p>
    <w:p>
      <w:pPr>
        <w:pBdr>
          <w:left w:val="single" w:color="F59E0B" w:sz="18" w:space="8"/>
        </w:pBdr>
        <w:shd w:fill="FFFBEB" w:color="auto" w:val="clear"/>
        <w:spacing w:after="160" w:before="120"/>
      </w:pPr>
      <w:r>
        <w:rPr>
          <w:i/>
          <w:iCs/>
        </w:rPr>
        <w:t xml:space="preserve">Use only if there are reasonable doubts about identity (Article 12(6) GDPR). Ask for the least information that resolves the doubt. If the person is already authenticated, for example through the university login or a known university email address, further checks are usually disproportionate. Avoid asking for copies of identity documents unless necessary, and do not keep them after verification.</w:t>
      </w:r>
    </w:p>
    <w:p>
      <w:pPr>
        <w:spacing w:after="120"/>
      </w:pPr>
      <w:r>
        <w:t xml:space="preserve">Subject: Your request for access to your personal data, reference </w:t>
      </w:r>
      <w:r>
        <w:rPr>
          <w:highlight w:val="yellow"/>
          <w:highlightCs w:val="yellow"/>
        </w:rPr>
        <w:t xml:space="preserve">[DSAR-YYYY-NNN]</w:t>
      </w:r>
      <w:r>
        <w:t xml:space="preserve">: confirming your identity</w:t>
      </w:r>
    </w:p>
    <w:p>
      <w:pPr>
        <w:spacing w:after="120"/>
      </w:pPr>
      <w:r>
        <w:t xml:space="preserve">Dear </w:t>
      </w:r>
      <w:r>
        <w:rPr>
          <w:highlight w:val="yellow"/>
          <w:highlightCs w:val="yellow"/>
        </w:rPr>
        <w:t xml:space="preserve">[name]</w:t>
      </w:r>
      <w:r>
        <w:t xml:space="preserve">,</w:t>
      </w:r>
    </w:p>
    <w:p>
      <w:pPr>
        <w:spacing w:after="120"/>
      </w:pPr>
      <w:r>
        <w:t xml:space="preserve">We received your request on </w:t>
      </w:r>
      <w:r>
        <w:rPr>
          <w:highlight w:val="yellow"/>
          <w:highlightCs w:val="yellow"/>
        </w:rPr>
        <w:t xml:space="preserve">[date of receipt]</w:t>
      </w:r>
      <w:r>
        <w:t xml:space="preserve">. Before we can release personal data, we need to be sure we are sending it to the right person, because </w:t>
      </w:r>
      <w:r>
        <w:rPr>
          <w:highlight w:val="yellow"/>
          <w:highlightCs w:val="yellow"/>
        </w:rPr>
        <w:t xml:space="preserve">[reason, for example: the request came from an email address that is not linked to any record we hold]</w:t>
      </w:r>
      <w:r>
        <w:t xml:space="preserve">.</w:t>
      </w:r>
    </w:p>
    <w:p>
      <w:pPr>
        <w:spacing w:after="120"/>
      </w:pPr>
      <w:r>
        <w:t xml:space="preserve">Please do one of the following:</w:t>
      </w:r>
    </w:p>
    <w:p>
      <w:pPr>
        <w:pStyle w:val="ListParagraph"/>
        <w:numPr>
          <w:ilvl w:val="0"/>
          <w:numId w:val="2"/>
        </w:numPr>
      </w:pPr>
      <w:r>
        <w:rPr>
          <w:highlight w:val="yellow"/>
          <w:highlightCs w:val="yellow"/>
        </w:rPr>
        <w:t xml:space="preserve">[Send your request again from your university email account, or submit it through [link to request form with university login]</w:t>
      </w:r>
      <w:r>
        <w:t xml:space="preserve">.]</w:t>
      </w:r>
    </w:p>
    <w:p>
      <w:pPr>
        <w:pStyle w:val="ListParagraph"/>
        <w:numPr>
          <w:ilvl w:val="0"/>
          <w:numId w:val="2"/>
        </w:numPr>
      </w:pPr>
      <w:r>
        <w:rPr>
          <w:highlight w:val="yellow"/>
          <w:highlightCs w:val="yellow"/>
        </w:rPr>
        <w:t xml:space="preserve">[Reply with your student or staff number and the programme or department and years you studied or worked at the university.]</w:t>
      </w:r>
    </w:p>
    <w:p>
      <w:pPr>
        <w:pStyle w:val="ListParagraph"/>
        <w:numPr>
          <w:ilvl w:val="0"/>
          <w:numId w:val="2"/>
        </w:numPr>
      </w:pPr>
      <w:r>
        <w:rPr>
          <w:highlight w:val="yellow"/>
          <w:highlightCs w:val="yellow"/>
        </w:rPr>
        <w:t xml:space="preserve">[Click the confirmation link we have sent to the email address we hold for you.]</w:t>
      </w:r>
    </w:p>
    <w:p>
      <w:pPr>
        <w:spacing w:after="120"/>
      </w:pPr>
      <w:r>
        <w:t xml:space="preserve">We will use this information only to confirm your identity for this request. The time we have to respond is paused from today until we receive your reply, and resumes once your identity is confirmed. If we do not hear from you by </w:t>
      </w:r>
      <w:r>
        <w:rPr>
          <w:highlight w:val="yellow"/>
          <w:highlightCs w:val="yellow"/>
        </w:rPr>
        <w:t xml:space="preserve">[date]</w:t>
      </w:r>
      <w:r>
        <w:t xml:space="preserve">, we will close the request, and you are welcome to make a new one at any time.</w:t>
      </w:r>
    </w:p>
    <w:p>
      <w:pPr>
        <w:spacing w:after="120"/>
      </w:pPr>
      <w:r>
        <w:rPr>
          <w:highlight w:val="yellow"/>
          <w:highlightCs w:val="yellow"/>
        </w:rPr>
        <w:t xml:space="preserve">[If the request is made by a representative:]</w:t>
      </w:r>
      <w:r>
        <w:t xml:space="preserve"> As the request was made on behalf of </w:t>
      </w:r>
      <w:r>
        <w:rPr>
          <w:highlight w:val="yellow"/>
          <w:highlightCs w:val="yellow"/>
        </w:rPr>
        <w:t xml:space="preserve">[data subject]</w:t>
      </w:r>
      <w:r>
        <w:t xml:space="preserve">, please send written authorisation signed by them, or other evidence that you are entitled to act for them.</w:t>
      </w:r>
    </w:p>
    <w:p>
      <w:pPr>
        <w:spacing w:after="120"/>
      </w:pPr>
      <w:r>
        <w:t xml:space="preserve">Kind regards,
</w:t>
      </w:r>
      <w:r>
        <w:rPr>
          <w:highlight w:val="yellow"/>
          <w:highlightCs w:val="yellow"/>
        </w:rPr>
        <w:t xml:space="preserve">[Name, role]</w:t>
      </w:r>
    </w:p>
    <w:p>
      <w:pPr>
        <w:pStyle w:val="Heading1"/>
      </w:pPr>
      <w:r>
        <w:t xml:space="preserve">C. Extension notice</w:t>
      </w:r>
    </w:p>
    <w:p>
      <w:pPr>
        <w:pBdr>
          <w:left w:val="single" w:color="F59E0B" w:sz="18" w:space="8"/>
        </w:pBdr>
        <w:shd w:fill="FFFBEB" w:color="auto" w:val="clear"/>
        <w:spacing w:after="160" w:before="120"/>
      </w:pPr>
      <w:r>
        <w:rPr>
          <w:i/>
          <w:iCs/>
        </w:rPr>
        <w:t xml:space="preserve">Send before the end of the first month. An extension is allowed only where necessary, taking into account the complexity and number of requests (Article 12(3) GDPR). Give real reasons and send any data that is ready now.</w:t>
      </w:r>
    </w:p>
    <w:p>
      <w:pPr>
        <w:spacing w:after="120"/>
      </w:pPr>
      <w:r>
        <w:t xml:space="preserve">Subject: Your request for access to your personal data, reference </w:t>
      </w:r>
      <w:r>
        <w:rPr>
          <w:highlight w:val="yellow"/>
          <w:highlightCs w:val="yellow"/>
        </w:rPr>
        <w:t xml:space="preserve">[DSAR-YYYY-NNN]</w:t>
      </w:r>
      <w:r>
        <w:t xml:space="preserve">: extension of the response period</w:t>
      </w:r>
    </w:p>
    <w:p>
      <w:pPr>
        <w:spacing w:after="120"/>
      </w:pPr>
      <w:r>
        <w:t xml:space="preserve">Dear </w:t>
      </w:r>
      <w:r>
        <w:rPr>
          <w:highlight w:val="yellow"/>
          <w:highlightCs w:val="yellow"/>
        </w:rPr>
        <w:t xml:space="preserve">[name]</w:t>
      </w:r>
      <w:r>
        <w:t xml:space="preserve">,</w:t>
      </w:r>
    </w:p>
    <w:p>
      <w:pPr>
        <w:spacing w:after="120"/>
      </w:pPr>
      <w:r>
        <w:t xml:space="preserve">We received your request on </w:t>
      </w:r>
      <w:r>
        <w:rPr>
          <w:highlight w:val="yellow"/>
          <w:highlightCs w:val="yellow"/>
        </w:rPr>
        <w:t xml:space="preserve">[date of receipt]</w:t>
      </w:r>
      <w:r>
        <w:t xml:space="preserve">. Under Article 12(3) GDPR we are extending the period for our response by </w:t>
      </w:r>
      <w:r>
        <w:rPr>
          <w:highlight w:val="yellow"/>
          <w:highlightCs w:val="yellow"/>
        </w:rPr>
        <w:t xml:space="preserve">[one / two]</w:t>
      </w:r>
      <w:r>
        <w:t xml:space="preserve"> month(s), to </w:t>
      </w:r>
      <w:r>
        <w:rPr>
          <w:highlight w:val="yellow"/>
          <w:highlightCs w:val="yellow"/>
        </w:rPr>
        <w:t xml:space="preserve">[new date]</w:t>
      </w:r>
      <w:r>
        <w:t xml:space="preserve">.</w:t>
      </w:r>
    </w:p>
    <w:p>
      <w:pPr>
        <w:spacing w:after="120"/>
      </w:pPr>
      <w:r>
        <w:t xml:space="preserve">The reasons are: </w:t>
      </w:r>
      <w:r>
        <w:rPr>
          <w:highlight w:val="yellow"/>
          <w:highlightCs w:val="yellow"/>
        </w:rPr>
        <w:t xml:space="preserve">[specific reasons, for example: your request covers [number]</w:t>
      </w:r>
      <w:r>
        <w:t xml:space="preserve"> systems across </w:t>
      </w:r>
      <w:r>
        <w:rPr>
          <w:highlight w:val="yellow"/>
          <w:highlightCs w:val="yellow"/>
        </w:rPr>
        <w:t xml:space="preserve">[number]</w:t>
      </w:r>
      <w:r>
        <w:t xml:space="preserve"> faculties and services, including data held for us by </w:t>
      </w:r>
      <w:r>
        <w:rPr>
          <w:highlight w:val="yellow"/>
          <w:highlightCs w:val="yellow"/>
        </w:rPr>
        <w:t xml:space="preserve">[number]</w:t>
      </w:r>
      <w:r>
        <w:t xml:space="preserve"> external service providers that we have asked to export your data; </w:t>
      </w:r>
      <w:r>
        <w:rPr>
          <w:highlight w:val="yellow"/>
          <w:highlightCs w:val="yellow"/>
        </w:rPr>
        <w:t xml:space="preserve">[number]</w:t>
      </w:r>
      <w:r>
        <w:t xml:space="preserve"> of the documents contain information about other people, which we must review before release].</w:t>
      </w:r>
    </w:p>
    <w:p>
      <w:pPr>
        <w:spacing w:after="120"/>
      </w:pPr>
      <w:r>
        <w:rPr>
          <w:highlight w:val="yellow"/>
          <w:highlightCs w:val="yellow"/>
        </w:rPr>
        <w:t xml:space="preserve">[Optional:]</w:t>
      </w:r>
      <w:r>
        <w:t xml:space="preserve"> In the meantime we enclose </w:t>
      </w:r>
      <w:r>
        <w:rPr>
          <w:highlight w:val="yellow"/>
          <w:highlightCs w:val="yellow"/>
        </w:rPr>
        <w:t xml:space="preserve">[the part of your data that is ready, for example your study records and examination results]</w:t>
      </w:r>
      <w:r>
        <w:t xml:space="preserve">.</w:t>
      </w:r>
    </w:p>
    <w:p>
      <w:pPr>
        <w:spacing w:after="120"/>
      </w:pPr>
      <w:r>
        <w:t xml:space="preserve">Kind regards,
</w:t>
      </w:r>
      <w:r>
        <w:rPr>
          <w:highlight w:val="yellow"/>
          <w:highlightCs w:val="yellow"/>
        </w:rPr>
        <w:t xml:space="preserve">[Name, role]</w:t>
      </w:r>
    </w:p>
    <w:p>
      <w:pPr>
        <w:pStyle w:val="Heading1"/>
      </w:pPr>
      <w:r>
        <w:t xml:space="preserve">D. Response cover letter</w:t>
      </w:r>
    </w:p>
    <w:p>
      <w:pPr>
        <w:spacing w:after="120"/>
      </w:pPr>
      <w:r>
        <w:t xml:space="preserve">Subject: Your request for access to your personal data, reference </w:t>
      </w:r>
      <w:r>
        <w:rPr>
          <w:highlight w:val="yellow"/>
          <w:highlightCs w:val="yellow"/>
        </w:rPr>
        <w:t xml:space="preserve">[DSAR-YYYY-NNN]</w:t>
      </w:r>
      <w:r>
        <w:t xml:space="preserve">: our response</w:t>
      </w:r>
    </w:p>
    <w:p>
      <w:pPr>
        <w:spacing w:after="120"/>
      </w:pPr>
      <w:r>
        <w:t xml:space="preserve">Dear </w:t>
      </w:r>
      <w:r>
        <w:rPr>
          <w:highlight w:val="yellow"/>
          <w:highlightCs w:val="yellow"/>
        </w:rPr>
        <w:t xml:space="preserve">[name]</w:t>
      </w:r>
      <w:r>
        <w:t xml:space="preserve">,</w:t>
      </w:r>
    </w:p>
    <w:p>
      <w:pPr>
        <w:spacing w:after="120"/>
      </w:pPr>
      <w:r>
        <w:t xml:space="preserve">Thank you for your request of </w:t>
      </w:r>
      <w:r>
        <w:rPr>
          <w:highlight w:val="yellow"/>
          <w:highlightCs w:val="yellow"/>
        </w:rPr>
        <w:t xml:space="preserve">[date]</w:t>
      </w:r>
      <w:r>
        <w:t xml:space="preserve">, received on </w:t>
      </w:r>
      <w:r>
        <w:rPr>
          <w:highlight w:val="yellow"/>
          <w:highlightCs w:val="yellow"/>
        </w:rPr>
        <w:t xml:space="preserve">[date of receipt]</w:t>
      </w:r>
      <w:r>
        <w:t xml:space="preserve">. We confirm that </w:t>
      </w:r>
      <w:r>
        <w:rPr>
          <w:highlight w:val="yellow"/>
          <w:highlightCs w:val="yellow"/>
        </w:rPr>
        <w:t xml:space="preserve">[university name]</w:t>
      </w:r>
      <w:r>
        <w:t xml:space="preserve"> </w:t>
      </w:r>
      <w:r>
        <w:rPr>
          <w:highlight w:val="yellow"/>
          <w:highlightCs w:val="yellow"/>
        </w:rPr>
        <w:t xml:space="preserve">[processes / does not process]</w:t>
      </w:r>
      <w:r>
        <w:t xml:space="preserve"> personal data about you.</w:t>
      </w:r>
    </w:p>
    <w:p>
      <w:pPr>
        <w:spacing w:after="120"/>
      </w:pPr>
      <w:r>
        <w:rPr>
          <w:b/>
          <w:bCs/>
        </w:rPr>
        <w:t xml:space="preserve">1. A copy of your personal data.</w:t>
      </w:r>
      <w:r>
        <w:t xml:space="preserve"> The enclosed </w:t>
      </w:r>
      <w:r>
        <w:rPr>
          <w:highlight w:val="yellow"/>
          <w:highlightCs w:val="yellow"/>
        </w:rPr>
        <w:t xml:space="preserve">[file / secure download link, available until [date]</w:t>
      </w:r>
      <w:r>
        <w:t xml:space="preserve">] contains a copy of your personal data, organised as follows: </w:t>
      </w:r>
      <w:r>
        <w:rPr>
          <w:highlight w:val="yellow"/>
          <w:highlightCs w:val="yellow"/>
        </w:rPr>
        <w:t xml:space="preserve">[list of sections, for example study records; examination scripts, marks and examiner comments; emails; case files; data held by our service providers]</w:t>
      </w:r>
      <w:r>
        <w:t xml:space="preserve">. </w:t>
      </w:r>
      <w:r>
        <w:rPr>
          <w:highlight w:val="yellow"/>
          <w:highlightCs w:val="yellow"/>
        </w:rPr>
        <w:t xml:space="preserve">[Where data consists of codes or abbreviations, an explanation is included in [file]</w:t>
      </w:r>
      <w:r>
        <w:t xml:space="preserve">.]</w:t>
      </w:r>
    </w:p>
    <w:p>
      <w:pPr>
        <w:spacing w:after="120"/>
      </w:pPr>
      <w:r>
        <w:rPr>
          <w:b/>
          <w:bCs/>
        </w:rPr>
        <w:t xml:space="preserve">2. Information about the processing.</w:t>
      </w:r>
      <w:r>
        <w:t xml:space="preserve"> The table below sets out the information required by Article 15(1) and (2) GDPR.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159"/>
        <w:gridCol w:w="5867"/>
      </w:tblGrid>
      <w:tr>
        <w:trPr>
          <w:tblHeader/>
        </w:trPr>
        <w:tc>
          <w:tcPr>
            <w:tcW w:type="dxa" w:w="3159"/>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Information</w:t>
            </w:r>
          </w:p>
        </w:tc>
        <w:tc>
          <w:tcPr>
            <w:tcW w:type="dxa" w:w="586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Our answer</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Purposes of the processing</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[Per area, for example: administration of your studies; examinations and assessment; employment]</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Categories of personal data</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Recipients or categories of recipients, including in third countries</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[For example: internal units; [national register]</w:t>
            </w:r>
            <w:r>
              <w:t xml:space="preserve">; service providers acting for us, such as </w:t>
            </w:r>
            <w:r>
              <w:rPr>
                <w:highlight w:val="yellow"/>
                <w:highlightCs w:val="yellow"/>
              </w:rPr>
              <w:t xml:space="preserve">[vendor types]</w:t>
            </w:r>
            <w:r>
              <w:t xml:space="preserve">. Third countries: </w:t>
            </w:r>
            <w:r>
              <w:rPr>
                <w:highlight w:val="yellow"/>
                <w:highlightCs w:val="yellow"/>
              </w:rPr>
              <w:t xml:space="preserve">[none / country]</w:t>
            </w:r>
            <w:r>
              <w:t xml:space="preserve">]</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Storage period, or criteria used to determine it</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[Per category, with reference to the retention schedule]</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Your rights</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You have the right to ask us to rectify or erase your personal data, to restrict its processing, and to object to processing, subject to the conditions in the GDPR.</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Right to complain</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You may lodge a complaint with </w:t>
            </w:r>
            <w:r>
              <w:rPr>
                <w:highlight w:val="yellow"/>
                <w:highlightCs w:val="yellow"/>
              </w:rPr>
              <w:t xml:space="preserve">[supervisory authority name and website]</w:t>
            </w:r>
            <w:r>
              <w:t xml:space="preserve">.</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Source, where the data was not collected from you</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[For example: previous institution; national admissions service; examiners]</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Automated decision-making, including profiling</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[None / description, meaningful information about the logic involved, and its significance and envisaged consequences]</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Safeguards for transfers to third countries</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[Not applicable / adequacy decision / standard contractual clauses, and how to obtain a copy]</w:t>
            </w:r>
          </w:p>
        </w:tc>
      </w:tr>
    </w:tbl>
    <w:p/>
    <w:p>
      <w:pPr>
        <w:spacing w:after="120"/>
      </w:pPr>
      <w:r>
        <w:rPr>
          <w:b/>
          <w:bCs/>
        </w:rPr>
        <w:t xml:space="preserve">3. Information we have not provided.</w:t>
      </w:r>
      <w:r>
        <w:t xml:space="preserve"> </w:t>
      </w:r>
      <w:r>
        <w:rPr>
          <w:highlight w:val="yellow"/>
          <w:highlightCs w:val="yellow"/>
        </w:rPr>
        <w:t xml:space="preserve">[Delete if not applicable.]</w:t>
      </w:r>
      <w:r>
        <w:t xml:space="preserve"> </w:t>
      </w:r>
      <w:r>
        <w:rPr>
          <w:highlight w:val="yellow"/>
          <w:highlightCs w:val="yellow"/>
        </w:rPr>
        <w:t xml:space="preserve">[We have redacted parts of [number]</w:t>
      </w:r>
      <w:r>
        <w:t xml:space="preserve"> documents because they contain personal data about other people, and disclosing it would adversely affect their rights and freedoms (Article 15(4) GDPR). / We have not provided </w:t>
      </w:r>
      <w:r>
        <w:rPr>
          <w:highlight w:val="yellow"/>
          <w:highlightCs w:val="yellow"/>
        </w:rPr>
        <w:t xml:space="preserve">[category]</w:t>
      </w:r>
      <w:r>
        <w:t xml:space="preserve"> because </w:t>
      </w:r>
      <w:r>
        <w:rPr>
          <w:highlight w:val="yellow"/>
          <w:highlightCs w:val="yellow"/>
        </w:rPr>
        <w:t xml:space="preserve">[legal provision of national law]</w:t>
      </w:r>
      <w:r>
        <w:t xml:space="preserve"> applies, for the following reasons: </w:t>
      </w:r>
      <w:r>
        <w:rPr>
          <w:highlight w:val="yellow"/>
          <w:highlightCs w:val="yellow"/>
        </w:rPr>
        <w:t xml:space="preserve">[reasons]</w:t>
      </w:r>
      <w:r>
        <w:t xml:space="preserve">. / Examination questions are not included, because they are not your personal data.]</w:t>
      </w:r>
    </w:p>
    <w:p>
      <w:pPr>
        <w:spacing w:after="120"/>
      </w:pPr>
      <w:r>
        <w:rPr>
          <w:b/>
          <w:bCs/>
        </w:rPr>
        <w:t xml:space="preserve">4. If you disagree.</w:t>
      </w:r>
      <w:r>
        <w:t xml:space="preserve"> If you are not satisfied with our response, please contact our data protection officer at </w:t>
      </w:r>
      <w:r>
        <w:rPr>
          <w:highlight w:val="yellow"/>
          <w:highlightCs w:val="yellow"/>
        </w:rPr>
        <w:t xml:space="preserve">[email]</w:t>
      </w:r>
      <w:r>
        <w:t xml:space="preserve">. You also have the right to lodge a complaint with </w:t>
      </w:r>
      <w:r>
        <w:rPr>
          <w:highlight w:val="yellow"/>
          <w:highlightCs w:val="yellow"/>
        </w:rPr>
        <w:t xml:space="preserve">[supervisory authority]</w:t>
      </w:r>
      <w:r>
        <w:t xml:space="preserve"> and to seek a judicial remedy.</w:t>
      </w:r>
    </w:p>
    <w:p>
      <w:pPr>
        <w:spacing w:after="120"/>
      </w:pPr>
      <w:r>
        <w:t xml:space="preserve">Kind regards,
</w:t>
      </w:r>
      <w:r>
        <w:rPr>
          <w:highlight w:val="yellow"/>
          <w:highlightCs w:val="yellow"/>
        </w:rPr>
        <w:t xml:space="preserve">[Name, role]</w:t>
      </w:r>
    </w:p>
    <w:p>
      <w:pPr>
        <w:pStyle w:val="Heading3"/>
      </w:pPr>
      <w:r>
        <w:t xml:space="preserve">Alternative paragraph: refusal under Article 12(5)</w:t>
      </w:r>
    </w:p>
    <w:p>
      <w:pPr>
        <w:pBdr>
          <w:left w:val="single" w:color="F59E0B" w:sz="18" w:space="8"/>
        </w:pBdr>
        <w:shd w:fill="FFFBEB" w:color="auto" w:val="clear"/>
        <w:spacing w:after="160" w:before="120"/>
      </w:pPr>
      <w:r>
        <w:rPr>
          <w:i/>
          <w:iCs/>
        </w:rPr>
        <w:t xml:space="preserve">Use only exceptionally. The university must be able to demonstrate that the request is manifestly unfounded or excessive. Lack of reasons, impolite language or an intention to use the data in a dispute are not grounds. Send within one month of receipt (Article 12(4)).</w:t>
      </w:r>
    </w:p>
    <w:p>
      <w:pPr>
        <w:spacing w:after="120"/>
      </w:pPr>
      <w:r>
        <w:t xml:space="preserve">We have decided not to act on your request of </w:t>
      </w:r>
      <w:r>
        <w:rPr>
          <w:highlight w:val="yellow"/>
          <w:highlightCs w:val="yellow"/>
        </w:rPr>
        <w:t xml:space="preserve">[date]</w:t>
      </w:r>
      <w:r>
        <w:t xml:space="preserve">, received on </w:t>
      </w:r>
      <w:r>
        <w:rPr>
          <w:highlight w:val="yellow"/>
          <w:highlightCs w:val="yellow"/>
        </w:rPr>
        <w:t xml:space="preserve">[date of receipt]</w:t>
      </w:r>
      <w:r>
        <w:t xml:space="preserve">, because we consider it </w:t>
      </w:r>
      <w:r>
        <w:rPr>
          <w:highlight w:val="yellow"/>
          <w:highlightCs w:val="yellow"/>
        </w:rPr>
        <w:t xml:space="preserve">[manifestly unfounded / excessive]</w:t>
      </w:r>
      <w:r>
        <w:t xml:space="preserve"> within the meaning of Article 12(5) GDPR. Our reasons are: </w:t>
      </w:r>
      <w:r>
        <w:rPr>
          <w:highlight w:val="yellow"/>
          <w:highlightCs w:val="yellow"/>
        </w:rPr>
        <w:t xml:space="preserve">[specific facts, for example: this is the [number]</w:t>
      </w:r>
      <w:r>
        <w:t xml:space="preserve"> request covering the same information since </w:t>
      </w:r>
      <w:r>
        <w:rPr>
          <w:highlight w:val="yellow"/>
          <w:highlightCs w:val="yellow"/>
        </w:rPr>
        <w:t xml:space="preserve">[date]</w:t>
      </w:r>
      <w:r>
        <w:t xml:space="preserve">, and the information has not changed since our response of </w:t>
      </w:r>
      <w:r>
        <w:rPr>
          <w:highlight w:val="yellow"/>
          <w:highlightCs w:val="yellow"/>
        </w:rPr>
        <w:t xml:space="preserve">[date]</w:t>
      </w:r>
      <w:r>
        <w:t xml:space="preserve">]. You have the right to lodge a complaint with </w:t>
      </w:r>
      <w:r>
        <w:rPr>
          <w:highlight w:val="yellow"/>
          <w:highlightCs w:val="yellow"/>
        </w:rPr>
        <w:t xml:space="preserve">[supervisory authority]</w:t>
      </w:r>
      <w:r>
        <w:t xml:space="preserve"> and to seek a judicial remedy.</w:t>
      </w:r>
    </w:p>
    <w:p>
      <w:pPr>
        <w:pStyle w:val="Heading1"/>
      </w:pPr>
      <w:r>
        <w:t xml:space="preserve">E. Request log</w:t>
      </w:r>
    </w:p>
    <w:p>
      <w:pPr>
        <w:spacing w:after="120"/>
      </w:pPr>
      <w:r>
        <w:t xml:space="preserve">Keep one row per request. Record decisions on redactions, exemptions and extensions, so the university can demonstrate how each request was handled.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722"/>
        <w:gridCol w:w="993"/>
        <w:gridCol w:w="993"/>
        <w:gridCol w:w="812"/>
        <w:gridCol w:w="812"/>
        <w:gridCol w:w="993"/>
        <w:gridCol w:w="1173"/>
        <w:gridCol w:w="1083"/>
        <w:gridCol w:w="722"/>
        <w:gridCol w:w="722"/>
      </w:tblGrid>
      <w:tr>
        <w:trPr>
          <w:tblHeader/>
        </w:trPr>
        <w:tc>
          <w:tcPr>
            <w:tcW w:type="dxa" w:w="722"/>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Ref.</w:t>
            </w:r>
          </w:p>
        </w:tc>
        <w:tc>
          <w:tcPr>
            <w:tcW w:type="dxa" w:w="99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Received (date, channel)</w:t>
            </w:r>
          </w:p>
        </w:tc>
        <w:tc>
          <w:tcPr>
            <w:tcW w:type="dxa" w:w="99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Requester (student, staff, other)</w:t>
            </w:r>
          </w:p>
        </w:tc>
        <w:tc>
          <w:tcPr>
            <w:tcW w:type="dxa" w:w="812"/>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Deadline</w:t>
            </w:r>
          </w:p>
        </w:tc>
        <w:tc>
          <w:tcPr>
            <w:tcW w:type="dxa" w:w="812"/>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ID check</w:t>
            </w:r>
          </w:p>
        </w:tc>
        <w:tc>
          <w:tcPr>
            <w:tcW w:type="dxa" w:w="99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Extension (date sent, new deadline)</w:t>
            </w:r>
          </w:p>
        </w:tc>
        <w:tc>
          <w:tcPr>
            <w:tcW w:type="dxa" w:w="117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Systems and vendors searched</w:t>
            </w:r>
          </w:p>
        </w:tc>
        <w:tc>
          <w:tcPr>
            <w:tcW w:type="dxa" w:w="108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Redactions or exemptions (basis)</w:t>
            </w:r>
          </w:p>
        </w:tc>
        <w:tc>
          <w:tcPr>
            <w:tcW w:type="dxa" w:w="722"/>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Response sent</w:t>
            </w:r>
          </w:p>
        </w:tc>
        <w:tc>
          <w:tcPr>
            <w:tcW w:type="dxa" w:w="722"/>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Handled by</w:t>
            </w:r>
          </w:p>
        </w:tc>
      </w:tr>
      <w:tr>
        <w:tc>
          <w:tcPr>
            <w:tcW w:type="dxa" w:w="722"/>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[DSAR-2026-001]</w:t>
            </w:r>
          </w:p>
        </w:tc>
        <w:tc>
          <w:tcPr>
            <w:tcW w:type="dxa" w:w="99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[YYYY-MM-DD, email]</w:t>
            </w:r>
          </w:p>
        </w:tc>
        <w:tc>
          <w:tcPr>
            <w:tcW w:type="dxa" w:w="99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[Former student]</w:t>
            </w:r>
          </w:p>
        </w:tc>
        <w:tc>
          <w:tcPr>
            <w:tcW w:type="dxa" w:w="812"/>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[YYYY-MM-DD]</w:t>
            </w:r>
          </w:p>
        </w:tc>
        <w:tc>
          <w:tcPr>
            <w:tcW w:type="dxa" w:w="812"/>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[Not needed: university account]</w:t>
            </w:r>
          </w:p>
        </w:tc>
        <w:tc>
          <w:tcPr>
            <w:tcW w:type="dxa" w:w="99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[No]</w:t>
            </w:r>
          </w:p>
        </w:tc>
        <w:tc>
          <w:tcPr>
            <w:tcW w:type="dxa" w:w="117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[SIS, LMS, assessment platform, proctoring vendor, mailbox of [role]</w:t>
            </w:r>
            <w:r>
              <w:t xml:space="preserve">]</w:t>
            </w:r>
          </w:p>
        </w:tc>
        <w:tc>
          <w:tcPr>
            <w:tcW w:type="dxa" w:w="108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[Art. 15(4): third-party names in 2 emails]</w:t>
            </w:r>
          </w:p>
        </w:tc>
        <w:tc>
          <w:tcPr>
            <w:tcW w:type="dxa" w:w="722"/>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[YYYY-MM-DD]</w:t>
            </w:r>
          </w:p>
        </w:tc>
        <w:tc>
          <w:tcPr>
            <w:tcW w:type="dxa" w:w="722"/>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[Initials]</w:t>
            </w:r>
          </w:p>
        </w:tc>
      </w:tr>
      <w:tr>
        <w:tc>
          <w:tcPr>
            <w:tcW w:type="dxa" w:w="722"/>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99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99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812"/>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812"/>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99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17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08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722"/>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722"/>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722"/>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99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99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812"/>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812"/>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99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17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08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722"/>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722"/>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bl>
    <w:p/>
    <w:p>
      <w:pPr>
        <w:pStyle w:val="Heading3"/>
      </w:pPr>
      <w:r>
        <w:t xml:space="preserve">Search checklist for typical university systems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49"/>
        <w:gridCol w:w="1805"/>
        <w:gridCol w:w="1805"/>
        <w:gridCol w:w="2166"/>
      </w:tblGrid>
      <w:tr>
        <w:trPr>
          <w:tblHeader/>
        </w:trPr>
        <w:tc>
          <w:tcPr>
            <w:tcW w:type="dxa" w:w="3249"/>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System or source</w:t>
            </w:r>
          </w:p>
        </w:tc>
        <w:tc>
          <w:tcPr>
            <w:tcW w:type="dxa" w:w="180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Typical owner</w:t>
            </w:r>
          </w:p>
        </w:tc>
        <w:tc>
          <w:tcPr>
            <w:tcW w:type="dxa" w:w="180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Searched (date, by)</w:t>
            </w:r>
          </w:p>
        </w:tc>
        <w:tc>
          <w:tcPr>
            <w:tcW w:type="dxa" w:w="216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Notes</w:t>
            </w:r>
          </w:p>
        </w:tc>
      </w:tr>
      <w:tr>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Student information system</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[Student administration]</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Learning platform and assessment tools</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[Include examiner comments]</w:t>
            </w:r>
          </w:p>
        </w:tc>
      </w:tr>
      <w:tr>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Plagiarism or text-matching service</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[Redact other students' text]</w:t>
            </w:r>
          </w:p>
        </w:tc>
      </w:tr>
      <w:tr>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Online exam proctoring service</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[Check vendor retention]</w:t>
            </w:r>
          </w:p>
        </w:tc>
      </w:tr>
      <w:tr>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HR and payroll system</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[HR]</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Case files: complaints, appeals, misconduct, grievances</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[Article 15(4) review]</w:t>
            </w:r>
          </w:p>
        </w:tc>
      </w:tr>
      <w:tr>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Email and chat of named staff</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[IT, with the staff concerned]</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[Search by name, ID, user name]</w:t>
            </w:r>
          </w:p>
        </w:tc>
      </w:tr>
      <w:tr>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Research projects in which the person took part</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[Principal investigator]</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[National research derogation, if any]</w:t>
            </w:r>
          </w:p>
        </w:tc>
      </w:tr>
      <w:tr>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Library, IT accounts, access cards, CCTV</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AI tools and other vendor platforms</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[Request export under the DPA (Article 28(3)(e))]</w:t>
            </w:r>
          </w:p>
        </w:tc>
      </w:tr>
      <w:tr>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Paper files and archives</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bl>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Template from validemic.com. Not legal advice: have it reviewed for your institution before use.   </w:t>
    </w:r>
    <w:r>
      <w:rPr>
        <w:color w:val="64748B"/>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120"/>
    </w:pPr>
    <w:rPr>
      <w:b/>
      <w:bCs/>
      <w:color w:val="0F1F38"/>
      <w:sz w:val="40"/>
      <w:szCs w:val="40"/>
    </w:rPr>
  </w:style>
  <w:style w:type="paragraph" w:styleId="Heading1">
    <w:name w:val="Heading 1"/>
    <w:basedOn w:val="Normal"/>
    <w:next w:val="Normal"/>
    <w:qFormat/>
    <w:pPr>
      <w:spacing w:after="120" w:before="320"/>
      <w:outlineLvl w:val="0"/>
    </w:pPr>
    <w:rPr>
      <w:b/>
      <w:bCs/>
      <w:color w:val="0F1F38"/>
      <w:sz w:val="30"/>
      <w:szCs w:val="30"/>
    </w:rPr>
  </w:style>
  <w:style w:type="paragraph" w:styleId="Heading2">
    <w:name w:val="Heading 2"/>
    <w:basedOn w:val="Normal"/>
    <w:next w:val="Normal"/>
    <w:qFormat/>
    <w:pPr>
      <w:spacing w:after="100" w:before="240"/>
      <w:outlineLvl w:val="1"/>
    </w:pPr>
    <w:rPr>
      <w:b/>
      <w:bCs/>
      <w:color w:val="1D4589"/>
      <w:sz w:val="25"/>
      <w:szCs w:val="25"/>
    </w:rPr>
  </w:style>
  <w:style w:type="paragraph" w:styleId="Heading3">
    <w:name w:val="Heading 3"/>
    <w:basedOn w:val="Normal"/>
    <w:next w:val="Normal"/>
    <w:qFormat/>
    <w:pPr>
      <w:spacing w:after="80" w:before="200"/>
      <w:outlineLvl w:val="2"/>
    </w:pPr>
    <w:rPr>
      <w:b/>
      <w:bCs/>
      <w:color w:val="334155"/>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Subject access request (DSAR) response templates</dc:title>
  <dc:creator>Validemic</dc:creator>
  <cp:lastModifiedBy>Un-named</cp:lastModifiedBy>
  <cp:revision>1</cp:revision>
  <dcterms:created xsi:type="dcterms:W3CDTF">2026-10-07T02:31:32.642Z</dcterms:created>
  <dcterms:modified xsi:type="dcterms:W3CDTF">2026-10-07T02:31:32.642Z</dcterms:modified>
</cp:coreProperties>
</file>

<file path=docProps/custom.xml><?xml version="1.0" encoding="utf-8"?>
<Properties xmlns="http://schemas.openxmlformats.org/officeDocument/2006/custom-properties" xmlns:vt="http://schemas.openxmlformats.org/officeDocument/2006/docPropsVTypes"/>
</file>