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Joint controller agreement for a research collaboration</w:t>
      </w:r>
    </w:p>
    <w:p>
      <w:pPr>
        <w:spacing w:after="240"/>
      </w:pPr>
      <w:r>
        <w:rPr>
          <w:color w:val="64748B"/>
        </w:rPr>
        <w:t xml:space="preserve">Arrangement under Article 26 GDPR between joint controllers of personal data processed in a research project. Version 1.0, October 2026.</w:t>
      </w:r>
    </w:p>
    <w:p>
      <w:pPr>
        <w:pBdr>
          <w:left w:val="single" w:color="F59E0B" w:sz="18" w:space="8"/>
        </w:pBdr>
        <w:shd w:fill="FFFBEB" w:color="auto" w:val="clear"/>
        <w:spacing w:after="160" w:before="120"/>
      </w:pPr>
      <w:r>
        <w:rPr>
          <w:i/>
          <w:iCs/>
        </w:rPr>
        <w:t xml:space="preserve">This is a template. Text in </w:t>
      </w:r>
      <w:r>
        <w:rPr>
          <w:i/>
          <w:iCs/>
          <w:highlight w:val="yellow"/>
          <w:highlightCs w:val="yellow"/>
        </w:rPr>
        <w:t xml:space="preserve">[square brackets]</w:t>
      </w:r>
      <w:r>
        <w:rPr>
          <w:i/>
          <w:iCs/>
        </w:rPr>
        <w:t xml:space="preserve"> must be completed or deleted. Rows marked EXAMPLE show the level of detail expected and are not a statement about any real project. The template is not legal advice: have it reviewed by your legal office or data protection officer before use.</w:t>
      </w:r>
    </w:p>
    <w:p>
      <w:pPr>
        <w:pStyle w:val="Heading1"/>
      </w:pPr>
      <w:r>
        <w:t xml:space="preserve">Instructions</w:t>
      </w:r>
    </w:p>
    <w:p>
      <w:pPr>
        <w:pStyle w:val="ListParagraph"/>
        <w:numPr>
          <w:ilvl w:val="0"/>
          <w:numId w:val="2"/>
        </w:numPr>
      </w:pPr>
      <w:r>
        <w:rPr>
          <w:b/>
          <w:bCs/>
        </w:rPr>
        <w:t xml:space="preserve">Check the roles first.</w:t>
      </w:r>
      <w:r>
        <w:t xml:space="preserve"> Use this agreement only for processing that the parties decide together (purposes and essential means), for example under a jointly drafted research protocol or on a jointly governed platform. If a party only acts on another party's instructions, use a data processing agreement under Article 28 instead. If one party gives data to another for that party's own separate study, use a data sharing agreement.</w:t>
      </w:r>
    </w:p>
    <w:p>
      <w:pPr>
        <w:pStyle w:val="ListParagraph"/>
        <w:numPr>
          <w:ilvl w:val="0"/>
          <w:numId w:val="2"/>
        </w:numPr>
      </w:pPr>
      <w:r>
        <w:rPr>
          <w:b/>
          <w:bCs/>
        </w:rPr>
        <w:t xml:space="preserve">Define the joint part precisely.</w:t>
      </w:r>
      <w:r>
        <w:t xml:space="preserve"> Joint control usually covers only some operations. Each party remains a separate controller for what it decides alone before and after the joint processing (EDPB Guidelines 07/2020, paragraph 57).</w:t>
      </w:r>
    </w:p>
    <w:p>
      <w:pPr>
        <w:pStyle w:val="ListParagraph"/>
        <w:numPr>
          <w:ilvl w:val="0"/>
          <w:numId w:val="2"/>
        </w:numPr>
      </w:pPr>
      <w:r>
        <w:rPr>
          <w:b/>
          <w:bCs/>
        </w:rPr>
        <w:t xml:space="preserve">Allocate every obligation.</w:t>
      </w:r>
      <w:r>
        <w:t xml:space="preserve"> Article 26(1) names data subject rights and the information duties, but the EDPB expects the parties to allocate all relevant obligations (Guidelines 07/2020, paragraph 166). Annex 2 is a matrix for this.</w:t>
      </w:r>
    </w:p>
    <w:p>
      <w:pPr>
        <w:pStyle w:val="ListParagraph"/>
        <w:numPr>
          <w:ilvl w:val="0"/>
          <w:numId w:val="2"/>
        </w:numPr>
      </w:pPr>
      <w:r>
        <w:rPr>
          <w:b/>
          <w:bCs/>
        </w:rPr>
        <w:t xml:space="preserve">Make the essence available.</w:t>
      </w:r>
      <w:r>
        <w:t xml:space="preserve"> Article 26(2) requires the essence of this agreement to be made available to data subjects. Annex 4 is a draft text for the participant information sheet.</w:t>
      </w:r>
    </w:p>
    <w:p>
      <w:pPr>
        <w:pStyle w:val="ListParagraph"/>
        <w:numPr>
          <w:ilvl w:val="0"/>
          <w:numId w:val="2"/>
        </w:numPr>
      </w:pPr>
      <w:r>
        <w:rPr>
          <w:b/>
          <w:bCs/>
        </w:rPr>
        <w:t xml:space="preserve">Signatories.</w:t>
      </w:r>
      <w:r>
        <w:t xml:space="preserve"> The controller is normally the institution, not the individual researcher. Have the agreement signed by persons authorised to sign for each institution.</w:t>
      </w:r>
    </w:p>
    <w:p>
      <w:pPr>
        <w:pStyle w:val="ListParagraph"/>
        <w:numPr>
          <w:ilvl w:val="0"/>
          <w:numId w:val="2"/>
        </w:numPr>
      </w:pPr>
      <w:r>
        <w:rPr>
          <w:b/>
          <w:bCs/>
        </w:rPr>
        <w:t xml:space="preserve">Link it.</w:t>
      </w:r>
      <w:r>
        <w:t xml:space="preserve"> Refer to this agreement in the consortium or collaboration agreement, the data management plan, the ethics application and each party's record of processing activities.</w:t>
      </w:r>
    </w:p>
    <w:p>
      <w:pPr>
        <w:pStyle w:val="Heading1"/>
      </w:pPr>
      <w:r>
        <w:t xml:space="preserve">Agreement</w:t>
      </w:r>
    </w:p>
    <w:p>
      <w:pPr>
        <w:pStyle w:val="Heading2"/>
      </w:pPr>
      <w:r>
        <w:t xml:space="preserve">Parties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2347"/>
        <w:gridCol w:w="2347"/>
        <w:gridCol w:w="2347"/>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Party 1</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Party 2</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Party </w:t>
            </w:r>
            <w:r>
              <w:rPr>
                <w:b/>
                <w:bCs/>
                <w:highlight w:val="yellow"/>
                <w:highlightCs w:val="yellow"/>
              </w:rPr>
              <w:t xml:space="preserve">[n]</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Legal name</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[University name]</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[Partner name]</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[Partner name]</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Registration number</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[Number]</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[Number]</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[Number]</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Address</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[Address]</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[Address]</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[Address]</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Unit responsible</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[Department or faculty]</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[Department]</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[Department]</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protection officer</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email]</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email]</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email]</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Principal investigator</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email]</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email]</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email]</w:t>
            </w:r>
          </w:p>
        </w:tc>
      </w:tr>
    </w:tbl>
    <w:p/>
    <w:p>
      <w:pPr>
        <w:spacing w:after="120"/>
      </w:pPr>
      <w:r>
        <w:t xml:space="preserve">The parties are together referred to as "the Parties" or "the Joint Controllers" and individually as a "Party".</w:t>
      </w:r>
    </w:p>
    <w:p>
      <w:pPr>
        <w:pStyle w:val="Heading2"/>
      </w:pPr>
      <w:r>
        <w:t xml:space="preserve">1. Background and purpose</w:t>
      </w:r>
    </w:p>
    <w:p>
      <w:pPr>
        <w:pStyle w:val="ListParagraph"/>
        <w:numPr>
          <w:ilvl w:val="0"/>
          <w:numId w:val="3"/>
        </w:numPr>
      </w:pPr>
      <w:r>
        <w:t xml:space="preserve">The Parties collaborate in the research project </w:t>
      </w:r>
      <w:r>
        <w:rPr>
          <w:highlight w:val="yellow"/>
          <w:highlightCs w:val="yellow"/>
        </w:rPr>
        <w:t xml:space="preserve">[project title and acronym]</w:t>
      </w:r>
      <w:r>
        <w:t xml:space="preserve"> ("the Project") under </w:t>
      </w:r>
      <w:r>
        <w:rPr>
          <w:highlight w:val="yellow"/>
          <w:highlightCs w:val="yellow"/>
        </w:rPr>
        <w:t xml:space="preserve">[consortium agreement / collaboration agreement / grant agreement, title, date]</w:t>
      </w:r>
      <w:r>
        <w:t xml:space="preserve"> ("the Main Agreement") and the research protocol </w:t>
      </w:r>
      <w:r>
        <w:rPr>
          <w:highlight w:val="yellow"/>
          <w:highlightCs w:val="yellow"/>
        </w:rPr>
        <w:t xml:space="preserve">[protocol title, version, date]</w:t>
      </w:r>
      <w:r>
        <w:t xml:space="preserve"> ("the Protocol").</w:t>
      </w:r>
    </w:p>
    <w:p>
      <w:pPr>
        <w:pStyle w:val="ListParagraph"/>
        <w:numPr>
          <w:ilvl w:val="0"/>
          <w:numId w:val="3"/>
        </w:numPr>
      </w:pPr>
      <w:r>
        <w:t xml:space="preserve">The Parties have jointly determined the purposes and essential means of the processing of personal data described in Annex 1 ("the Joint Processing") and are therefore joint controllers for the Joint Processing under Article 26 of Regulation (EU) 2016/679 ("GDPR").</w:t>
      </w:r>
    </w:p>
    <w:p>
      <w:pPr>
        <w:pStyle w:val="ListParagraph"/>
        <w:numPr>
          <w:ilvl w:val="0"/>
          <w:numId w:val="3"/>
        </w:numPr>
      </w:pPr>
      <w:r>
        <w:t xml:space="preserve">This agreement sets out, in a transparent manner, the Parties' respective responsibilities for compliance with the GDPR and applicable national data protection law for the Joint Processing.</w:t>
      </w:r>
    </w:p>
    <w:p>
      <w:pPr>
        <w:pStyle w:val="ListParagraph"/>
        <w:numPr>
          <w:ilvl w:val="0"/>
          <w:numId w:val="3"/>
        </w:numPr>
      </w:pPr>
      <w:r>
        <w:t xml:space="preserve">Each Party is a separate controller for any processing it carries out for its own purposes outside the Joint Processing, including </w:t>
      </w:r>
      <w:r>
        <w:rPr>
          <w:highlight w:val="yellow"/>
          <w:highlightCs w:val="yellow"/>
        </w:rPr>
        <w:t xml:space="preserve">[examples: recruitment through its own registers, patient care, its own follow-on studies]</w:t>
      </w:r>
      <w:r>
        <w:t xml:space="preserve">. Such processing is not covered by this agreement.</w:t>
      </w:r>
    </w:p>
    <w:p>
      <w:pPr>
        <w:pStyle w:val="Heading2"/>
      </w:pPr>
      <w:r>
        <w:t xml:space="preserve">2. Description of the Joint Processing</w:t>
      </w:r>
    </w:p>
    <w:p>
      <w:pPr>
        <w:spacing w:after="120"/>
      </w:pPr>
      <w:r>
        <w:t xml:space="preserve">The subject matter, purposes, categories of data subjects and personal data, sources, systems and retention periods of the Joint Processing are described in Annex 1. The Parties shall not process the personal data covered by this agreement for purposes other than those in Annex 1, except where permitted by clause 10.</w:t>
      </w:r>
    </w:p>
    <w:p>
      <w:pPr>
        <w:pStyle w:val="Heading2"/>
      </w:pPr>
      <w:r>
        <w:t xml:space="preserve">3. Legal basis and conditions for special category data</w:t>
      </w:r>
    </w:p>
    <w:p>
      <w:pPr>
        <w:pStyle w:val="ListParagraph"/>
        <w:numPr>
          <w:ilvl w:val="0"/>
          <w:numId w:val="4"/>
        </w:numPr>
      </w:pPr>
      <w:r>
        <w:t xml:space="preserve">Each Party is responsible for ensuring that it has a legal basis under Article 6 GDPR for its part of the Joint Processing. The Parties have agreed to rely on the legal basis stated in Annex 1. Where a Party relies on a different legal basis, this is stated in Annex 1.</w:t>
      </w:r>
    </w:p>
    <w:p>
      <w:pPr>
        <w:pStyle w:val="ListParagraph"/>
        <w:numPr>
          <w:ilvl w:val="0"/>
          <w:numId w:val="4"/>
        </w:numPr>
      </w:pPr>
      <w:r>
        <w:t xml:space="preserve">Where special categories of personal data are processed, each Party shall rely on the condition in Article 9(2) GDPR and any national provisions stated in Annex 1, and shall apply the safeguards required by Article 89(1) GDPR.</w:t>
      </w:r>
    </w:p>
    <w:p>
      <w:pPr>
        <w:pStyle w:val="ListParagraph"/>
        <w:numPr>
          <w:ilvl w:val="0"/>
          <w:numId w:val="4"/>
        </w:numPr>
      </w:pPr>
      <w:r>
        <w:rPr>
          <w:highlight w:val="yellow"/>
          <w:highlightCs w:val="yellow"/>
        </w:rPr>
        <w:t xml:space="preserve">[Party]</w:t>
      </w:r>
      <w:r>
        <w:t xml:space="preserve"> shall obtain and maintain the ethics approval(s) listed in Annex 1. The other Parties shall provide the information needed for the application and shall comply with any conditions of the approval.</w:t>
      </w:r>
    </w:p>
    <w:p>
      <w:pPr>
        <w:pStyle w:val="Heading2"/>
      </w:pPr>
      <w:r>
        <w:t xml:space="preserve">4. Responsibilities</w:t>
      </w:r>
    </w:p>
    <w:p>
      <w:pPr>
        <w:spacing w:after="120"/>
      </w:pPr>
      <w:r>
        <w:t xml:space="preserve">The Parties' respective responsibilities are set out in the responsibility matrix in Annex 2. The Party marked "Lead" carries out the task; the Parties marked "Support" provide information and assistance without undue delay. Where Annex 2 is silent, each Party remains responsible for the obligations that apply to it as a controller.</w:t>
      </w:r>
    </w:p>
    <w:p>
      <w:pPr>
        <w:pStyle w:val="Heading2"/>
      </w:pPr>
      <w:r>
        <w:t xml:space="preserve">5. Information to data subjects</w:t>
      </w:r>
    </w:p>
    <w:p>
      <w:pPr>
        <w:pStyle w:val="ListParagraph"/>
        <w:numPr>
          <w:ilvl w:val="0"/>
          <w:numId w:val="5"/>
        </w:numPr>
      </w:pPr>
      <w:r>
        <w:t xml:space="preserve">The Party that collects personal data from data subjects shall provide the information required by Article 13 GDPR, using the common participant information agreed by the Parties. Where personal data is not obtained from the data subject, the Party stated in Annex 2 shall provide the information required by Article 14 GDPR, unless an exception applies.</w:t>
      </w:r>
    </w:p>
    <w:p>
      <w:pPr>
        <w:pStyle w:val="ListParagraph"/>
        <w:numPr>
          <w:ilvl w:val="0"/>
          <w:numId w:val="5"/>
        </w:numPr>
      </w:pPr>
      <w:r>
        <w:t xml:space="preserve">The information shall include the essence of this agreement as set out in Annex 4, including the contact point.</w:t>
      </w:r>
    </w:p>
    <w:p>
      <w:pPr>
        <w:pStyle w:val="ListParagraph"/>
        <w:numPr>
          <w:ilvl w:val="0"/>
          <w:numId w:val="5"/>
        </w:numPr>
      </w:pPr>
      <w:r>
        <w:t xml:space="preserve">The Parties shall ensure that the information is provided in a consistent manner and shall agree any changes before they are used.</w:t>
      </w:r>
    </w:p>
    <w:p>
      <w:pPr>
        <w:pStyle w:val="Heading2"/>
      </w:pPr>
      <w:r>
        <w:t xml:space="preserve">6. Data subject rights and contact point</w:t>
      </w:r>
    </w:p>
    <w:p>
      <w:pPr>
        <w:pStyle w:val="ListParagraph"/>
        <w:numPr>
          <w:ilvl w:val="0"/>
          <w:numId w:val="6"/>
        </w:numPr>
      </w:pPr>
      <w:r>
        <w:t xml:space="preserve">The contact point for data subjects is </w:t>
      </w:r>
      <w:r>
        <w:rPr>
          <w:highlight w:val="yellow"/>
          <w:highlightCs w:val="yellow"/>
        </w:rPr>
        <w:t xml:space="preserve">[Party, function, email address]</w:t>
      </w:r>
      <w:r>
        <w:t xml:space="preserve">.</w:t>
      </w:r>
    </w:p>
    <w:p>
      <w:pPr>
        <w:pStyle w:val="ListParagraph"/>
        <w:numPr>
          <w:ilvl w:val="0"/>
          <w:numId w:val="6"/>
        </w:numPr>
      </w:pPr>
      <w:r>
        <w:t xml:space="preserve">Data subjects may exercise their rights against each of the Parties, irrespective of this agreement (Article 26(3) GDPR).</w:t>
      </w:r>
    </w:p>
    <w:p>
      <w:pPr>
        <w:pStyle w:val="ListParagraph"/>
        <w:numPr>
          <w:ilvl w:val="0"/>
          <w:numId w:val="6"/>
        </w:numPr>
      </w:pPr>
      <w:r>
        <w:t xml:space="preserve">A Party that receives a request concerning the Joint Processing shall forward it to the contact point within </w:t>
      </w:r>
      <w:r>
        <w:rPr>
          <w:highlight w:val="yellow"/>
          <w:highlightCs w:val="yellow"/>
        </w:rPr>
        <w:t xml:space="preserve">[3]</w:t>
      </w:r>
      <w:r>
        <w:t xml:space="preserve"> working days, unless it handles the request itself under Annex 2.</w:t>
      </w:r>
    </w:p>
    <w:p>
      <w:pPr>
        <w:pStyle w:val="ListParagraph"/>
        <w:numPr>
          <w:ilvl w:val="0"/>
          <w:numId w:val="6"/>
        </w:numPr>
      </w:pPr>
      <w:r>
        <w:t xml:space="preserve">The Parties shall give each other the assistance needed to answer a request within the time limits in Article 12(3) GDPR, including, where data is pseudonymised, providing the information needed to locate the data subject's records.</w:t>
      </w:r>
    </w:p>
    <w:p>
      <w:pPr>
        <w:pStyle w:val="ListParagraph"/>
        <w:numPr>
          <w:ilvl w:val="0"/>
          <w:numId w:val="6"/>
        </w:numPr>
      </w:pPr>
      <w:r>
        <w:t xml:space="preserve">Where national law provides derogations from data subject rights for scientific research purposes under Article 89(2) GDPR, the Party handling the request shall consult the other Parties before relying on them.</w:t>
      </w:r>
    </w:p>
    <w:p>
      <w:pPr>
        <w:pStyle w:val="Heading2"/>
      </w:pPr>
      <w:r>
        <w:t xml:space="preserve">7. Security</w:t>
      </w:r>
    </w:p>
    <w:p>
      <w:pPr>
        <w:pStyle w:val="ListParagraph"/>
        <w:numPr>
          <w:ilvl w:val="0"/>
          <w:numId w:val="7"/>
        </w:numPr>
      </w:pPr>
      <w:r>
        <w:t xml:space="preserve">Each Party shall implement appropriate technical and organisational measures under Article 32 GDPR for the personal data it processes, including at least the measures in Annex 3.</w:t>
      </w:r>
    </w:p>
    <w:p>
      <w:pPr>
        <w:pStyle w:val="ListParagraph"/>
        <w:numPr>
          <w:ilvl w:val="0"/>
          <w:numId w:val="7"/>
        </w:numPr>
      </w:pPr>
      <w:r>
        <w:t xml:space="preserve">Where the Parties use shared systems or storage, the Party operating the system shall implement the measures in Annex 3 for that system, and all Parties shall comply with its access rules.</w:t>
      </w:r>
    </w:p>
    <w:p>
      <w:pPr>
        <w:pStyle w:val="ListParagraph"/>
        <w:numPr>
          <w:ilvl w:val="0"/>
          <w:numId w:val="7"/>
        </w:numPr>
      </w:pPr>
      <w:r>
        <w:t xml:space="preserve">Personal data shall be stored only in the locations listed in Annex 1. Directly identifying data and pseudonymisation keys shall be stored separately from research data.</w:t>
      </w:r>
    </w:p>
    <w:p>
      <w:pPr>
        <w:pStyle w:val="Heading2"/>
      </w:pPr>
      <w:r>
        <w:t xml:space="preserve">8. Personal data breaches</w:t>
      </w:r>
    </w:p>
    <w:p>
      <w:pPr>
        <w:pStyle w:val="ListParagraph"/>
        <w:numPr>
          <w:ilvl w:val="0"/>
          <w:numId w:val="8"/>
        </w:numPr>
      </w:pPr>
      <w:r>
        <w:t xml:space="preserve">A Party that becomes aware of a personal data breach affecting the Joint Processing shall inform the other Parties' contact persons in Annex 5 without undue delay and in any event within </w:t>
      </w:r>
      <w:r>
        <w:rPr>
          <w:highlight w:val="yellow"/>
          <w:highlightCs w:val="yellow"/>
        </w:rPr>
        <w:t xml:space="preserve">[24]</w:t>
      </w:r>
      <w:r>
        <w:t xml:space="preserve"> hours.</w:t>
      </w:r>
    </w:p>
    <w:p>
      <w:pPr>
        <w:pStyle w:val="ListParagraph"/>
        <w:numPr>
          <w:ilvl w:val="0"/>
          <w:numId w:val="8"/>
        </w:numPr>
      </w:pPr>
      <w:r>
        <w:t xml:space="preserve">The notification shall describe what happened, the data and data subjects affected, the likely consequences, the measures taken or proposed, and a contact person.</w:t>
      </w:r>
    </w:p>
    <w:p>
      <w:pPr>
        <w:pStyle w:val="ListParagraph"/>
        <w:numPr>
          <w:ilvl w:val="0"/>
          <w:numId w:val="8"/>
        </w:numPr>
      </w:pPr>
      <w:r>
        <w:t xml:space="preserve">The Party stated in Annex 2 shall decide, after consulting the other Parties where time allows, whether to notify the supervisory authority under Article 33 GDPR and data subjects under Article 34 GDPR, and shall make the notifications. Each Party shall document breaches affecting it.</w:t>
      </w:r>
    </w:p>
    <w:p>
      <w:pPr>
        <w:pStyle w:val="Heading2"/>
      </w:pPr>
      <w:r>
        <w:t xml:space="preserve">9. DPIA, prior consultation and records</w:t>
      </w:r>
    </w:p>
    <w:p>
      <w:pPr>
        <w:pStyle w:val="ListParagraph"/>
        <w:numPr>
          <w:ilvl w:val="0"/>
          <w:numId w:val="9"/>
        </w:numPr>
      </w:pPr>
      <w:r>
        <w:t xml:space="preserve">The Party stated in Annex 2 shall coordinate any data protection impact assessment under Article 35 GDPR for the Joint Processing. The other Parties shall contribute the information needed, without having to disclose trade secrets or security vulnerabilities beyond what is necessary.</w:t>
      </w:r>
    </w:p>
    <w:p>
      <w:pPr>
        <w:pStyle w:val="ListParagraph"/>
        <w:numPr>
          <w:ilvl w:val="0"/>
          <w:numId w:val="9"/>
        </w:numPr>
      </w:pPr>
      <w:r>
        <w:t xml:space="preserve">If prior consultation under Article 36 GDPR is required, the Party stated in Annex 2 shall carry it out after agreeing the submission with the other Parties.</w:t>
      </w:r>
    </w:p>
    <w:p>
      <w:pPr>
        <w:pStyle w:val="ListParagraph"/>
        <w:numPr>
          <w:ilvl w:val="0"/>
          <w:numId w:val="9"/>
        </w:numPr>
      </w:pPr>
      <w:r>
        <w:t xml:space="preserve">Each Party shall record the Joint Processing in its own record of processing activities under Article 30 GDPR, including the other Parties as joint controllers.</w:t>
      </w:r>
    </w:p>
    <w:p>
      <w:pPr>
        <w:pStyle w:val="Heading2"/>
      </w:pPr>
      <w:r>
        <w:t xml:space="preserve">10. Purpose limitation and further use</w:t>
      </w:r>
    </w:p>
    <w:p>
      <w:pPr>
        <w:pStyle w:val="ListParagraph"/>
        <w:numPr>
          <w:ilvl w:val="0"/>
          <w:numId w:val="10"/>
        </w:numPr>
      </w:pPr>
      <w:r>
        <w:t xml:space="preserve">No Party shall use personal data received from another Party under this agreement for purposes outside Annex 1 without the prior written agreement of the Party that provided the data and a legal basis of its own.</w:t>
      </w:r>
    </w:p>
    <w:p>
      <w:pPr>
        <w:pStyle w:val="ListParagraph"/>
        <w:numPr>
          <w:ilvl w:val="0"/>
          <w:numId w:val="10"/>
        </w:numPr>
      </w:pPr>
      <w:r>
        <w:rPr>
          <w:highlight w:val="yellow"/>
          <w:highlightCs w:val="yellow"/>
        </w:rPr>
        <w:t xml:space="preserve">[Optional: The Parties agree that the following further research uses are permitted, subject to ethics approval where required and information to data subjects: [describe]</w:t>
      </w:r>
      <w:r>
        <w:t xml:space="preserve">.]</w:t>
      </w:r>
    </w:p>
    <w:p>
      <w:pPr>
        <w:pStyle w:val="ListParagraph"/>
        <w:numPr>
          <w:ilvl w:val="0"/>
          <w:numId w:val="10"/>
        </w:numPr>
      </w:pPr>
      <w:r>
        <w:t xml:space="preserve">No Party shall attempt to re-identify data subjects in data received in pseudonymised or anonymised form, except where this is necessary for the Joint Processing and agreed in Annex 1.</w:t>
      </w:r>
    </w:p>
    <w:p>
      <w:pPr>
        <w:pStyle w:val="Heading2"/>
      </w:pPr>
      <w:r>
        <w:t xml:space="preserve">11. Processors</w:t>
      </w:r>
    </w:p>
    <w:p>
      <w:pPr>
        <w:pStyle w:val="ListParagraph"/>
        <w:numPr>
          <w:ilvl w:val="0"/>
          <w:numId w:val="11"/>
        </w:numPr>
      </w:pPr>
      <w:r>
        <w:t xml:space="preserve">A Party may engage a processor for the Joint Processing only if the processor provides sufficient guarantees under Article 28(1) GDPR, a written agreement meeting Article 28(3) GDPR is in place, and the processor is listed in Annex 1 or has been notified to the other Parties </w:t>
      </w:r>
      <w:r>
        <w:rPr>
          <w:highlight w:val="yellow"/>
          <w:highlightCs w:val="yellow"/>
        </w:rPr>
        <w:t xml:space="preserve">[10]</w:t>
      </w:r>
      <w:r>
        <w:t xml:space="preserve"> working days in advance without objection on reasonable data protection grounds.</w:t>
      </w:r>
    </w:p>
    <w:p>
      <w:pPr>
        <w:pStyle w:val="ListParagraph"/>
        <w:numPr>
          <w:ilvl w:val="0"/>
          <w:numId w:val="11"/>
        </w:numPr>
      </w:pPr>
      <w:r>
        <w:t xml:space="preserve">The Party engaging a processor remains responsible towards the other Parties for that processor and shall provide a copy of the relevant terms on request.</w:t>
      </w:r>
    </w:p>
    <w:p>
      <w:pPr>
        <w:pStyle w:val="Heading2"/>
      </w:pPr>
      <w:r>
        <w:t xml:space="preserve">12. Transfers outside the EEA</w:t>
      </w:r>
    </w:p>
    <w:p>
      <w:pPr>
        <w:pStyle w:val="ListParagraph"/>
        <w:numPr>
          <w:ilvl w:val="0"/>
          <w:numId w:val="12"/>
        </w:numPr>
      </w:pPr>
      <w:r>
        <w:t xml:space="preserve">No Party shall transfer personal data covered by this agreement to a third country or international organisation, or allow access to it from a third country, except in accordance with Chapter V GDPR and as stated in Annex 1. This includes transfers by processors and subprocessors and remote access from a third country.</w:t>
      </w:r>
    </w:p>
    <w:p>
      <w:pPr>
        <w:pStyle w:val="ListParagraph"/>
        <w:numPr>
          <w:ilvl w:val="0"/>
          <w:numId w:val="12"/>
        </w:numPr>
      </w:pPr>
      <w:r>
        <w:t xml:space="preserve">The Party responsible for a transfer shall document the transfer tool used (adequacy decision, standard contractual clauses or another Article 46 safeguard, or an Article 49 derogation) and any transfer impact assessment, and provide them to the other Parties on request.</w:t>
      </w:r>
    </w:p>
    <w:p>
      <w:pPr>
        <w:pStyle w:val="Heading2"/>
      </w:pPr>
      <w:r>
        <w:t xml:space="preserve">13. Retention, archiving and end of the Project</w:t>
      </w:r>
    </w:p>
    <w:p>
      <w:pPr>
        <w:pStyle w:val="ListParagraph"/>
        <w:numPr>
          <w:ilvl w:val="0"/>
          <w:numId w:val="13"/>
        </w:numPr>
      </w:pPr>
      <w:r>
        <w:t xml:space="preserve">Personal data shall be kept no longer than stated in Annex 1. The Parties shall review at </w:t>
      </w:r>
      <w:r>
        <w:rPr>
          <w:highlight w:val="yellow"/>
          <w:highlightCs w:val="yellow"/>
        </w:rPr>
        <w:t xml:space="preserve">[interval]</w:t>
      </w:r>
      <w:r>
        <w:t xml:space="preserve"> whether data can be anonymised or deleted.</w:t>
      </w:r>
    </w:p>
    <w:p>
      <w:pPr>
        <w:pStyle w:val="ListParagraph"/>
        <w:numPr>
          <w:ilvl w:val="0"/>
          <w:numId w:val="13"/>
        </w:numPr>
      </w:pPr>
      <w:r>
        <w:t xml:space="preserve">At the end of the Project, each Party shall </w:t>
      </w:r>
      <w:r>
        <w:rPr>
          <w:highlight w:val="yellow"/>
          <w:highlightCs w:val="yellow"/>
        </w:rPr>
        <w:t xml:space="preserve">[delete / return / archive]</w:t>
      </w:r>
      <w:r>
        <w:t xml:space="preserve"> the personal data as stated in Annex 1, subject to legal obligations to retain records, including public archiving law that applies to a Party.</w:t>
      </w:r>
    </w:p>
    <w:p>
      <w:pPr>
        <w:pStyle w:val="Heading2"/>
      </w:pPr>
      <w:r>
        <w:t xml:space="preserve">14. Supervisory authorities</w:t>
      </w:r>
    </w:p>
    <w:p>
      <w:pPr>
        <w:spacing w:after="120"/>
      </w:pPr>
      <w:r>
        <w:t xml:space="preserve">The Party stated in Annex 2 shall coordinate communication with supervisory authorities concerning the Joint Processing. Each Party shall inform the other Parties without undue delay of any inquiry, complaint or order concerning the Joint Processing, unless prohibited by law. The Parties acknowledge that supervisory authorities are not bound by this agreement.</w:t>
      </w:r>
    </w:p>
    <w:p>
      <w:pPr>
        <w:pStyle w:val="Heading2"/>
      </w:pPr>
      <w:r>
        <w:t xml:space="preserve">15. Liability</w:t>
      </w:r>
    </w:p>
    <w:p>
      <w:pPr>
        <w:pStyle w:val="ListParagraph"/>
        <w:numPr>
          <w:ilvl w:val="0"/>
          <w:numId w:val="14"/>
        </w:numPr>
      </w:pPr>
      <w:r>
        <w:t xml:space="preserve">Each Party is liable towards data subjects as provided in Article 82 GDPR.</w:t>
      </w:r>
    </w:p>
    <w:p>
      <w:pPr>
        <w:pStyle w:val="ListParagraph"/>
        <w:numPr>
          <w:ilvl w:val="0"/>
          <w:numId w:val="14"/>
        </w:numPr>
      </w:pPr>
      <w:r>
        <w:t xml:space="preserve">Between the Parties, each Party is responsible for damage caused by its own breach of this agreement or the GDPR. Where a Party has paid full compensation to a data subject, it may claim back from the other Parties the part corresponding to their responsibility, in accordance with Article 82(5) GDPR.</w:t>
      </w:r>
    </w:p>
    <w:p>
      <w:pPr>
        <w:pStyle w:val="ListParagraph"/>
        <w:numPr>
          <w:ilvl w:val="0"/>
          <w:numId w:val="14"/>
        </w:numPr>
      </w:pPr>
      <w:r>
        <w:rPr>
          <w:highlight w:val="yellow"/>
          <w:highlightCs w:val="yellow"/>
        </w:rPr>
        <w:t xml:space="preserve">[Any limitation of liability between the Parties in the Main Agreement applies / does not apply to this agreement.]</w:t>
      </w:r>
    </w:p>
    <w:p>
      <w:pPr>
        <w:pStyle w:val="Heading2"/>
      </w:pPr>
      <w:r>
        <w:t xml:space="preserve">16. Term, changes and new parties</w:t>
      </w:r>
    </w:p>
    <w:p>
      <w:pPr>
        <w:pStyle w:val="ListParagraph"/>
        <w:numPr>
          <w:ilvl w:val="0"/>
          <w:numId w:val="15"/>
        </w:numPr>
      </w:pPr>
      <w:r>
        <w:t xml:space="preserve">This agreement enters into force when signed by all Parties and remains in force for as long as any Party processes personal data under the Joint Processing.</w:t>
      </w:r>
    </w:p>
    <w:p>
      <w:pPr>
        <w:pStyle w:val="ListParagraph"/>
        <w:numPr>
          <w:ilvl w:val="0"/>
          <w:numId w:val="15"/>
        </w:numPr>
      </w:pPr>
      <w:r>
        <w:t xml:space="preserve">Changes to the Protocol that affect the Joint Processing shall be reflected in the Annexes before the changed processing starts. Changes shall be agreed in writing.</w:t>
      </w:r>
    </w:p>
    <w:p>
      <w:pPr>
        <w:pStyle w:val="ListParagraph"/>
        <w:numPr>
          <w:ilvl w:val="0"/>
          <w:numId w:val="15"/>
        </w:numPr>
      </w:pPr>
      <w:r>
        <w:t xml:space="preserve">A new party may join by signing an accession form agreed by the existing Parties, which shall update Annexes 1 to 5.</w:t>
      </w:r>
    </w:p>
    <w:p>
      <w:pPr>
        <w:pStyle w:val="ListParagraph"/>
        <w:numPr>
          <w:ilvl w:val="0"/>
          <w:numId w:val="15"/>
        </w:numPr>
      </w:pPr>
      <w:r>
        <w:t xml:space="preserve">In case of conflict between this agreement and the Main Agreement concerning the processing of personal data, this agreement prevails.</w:t>
      </w:r>
    </w:p>
    <w:p>
      <w:pPr>
        <w:pStyle w:val="Heading2"/>
      </w:pPr>
      <w:r>
        <w:t xml:space="preserve">17. Governing law and disputes</w:t>
      </w:r>
    </w:p>
    <w:p>
      <w:pPr>
        <w:spacing w:after="120"/>
      </w:pPr>
      <w:r>
        <w:t xml:space="preserve">This agreement is governed by </w:t>
      </w:r>
      <w:r>
        <w:rPr>
          <w:highlight w:val="yellow"/>
          <w:highlightCs w:val="yellow"/>
        </w:rPr>
        <w:t xml:space="preserve">[law]</w:t>
      </w:r>
      <w:r>
        <w:t xml:space="preserve">. Disputes shall be settled as provided in the Main Agreement </w:t>
      </w:r>
      <w:r>
        <w:rPr>
          <w:highlight w:val="yellow"/>
          <w:highlightCs w:val="yellow"/>
        </w:rPr>
        <w:t xml:space="preserve">[or: by the courts of [place]</w:t>
      </w:r>
      <w:r>
        <w:t xml:space="preserve">].</w:t>
      </w:r>
    </w:p>
    <w:p>
      <w:pPr>
        <w:pStyle w:val="Heading2"/>
      </w:pPr>
      <w:r>
        <w:t xml:space="preserve">Signatures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7"/>
        <w:gridCol w:w="3159"/>
        <w:gridCol w:w="1354"/>
        <w:gridCol w:w="2257"/>
      </w:tblGrid>
      <w:tr>
        <w:trPr>
          <w:tblHeader/>
        </w:trPr>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Party</w:t>
            </w:r>
          </w:p>
        </w:tc>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Name and title of authorised signatory</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Signature</w:t>
            </w: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 1]</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 2]</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 n]</w:t>
            </w:r>
          </w:p>
        </w:tc>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Annex 1: Description of the Joint Processing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Item</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Description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Project and Protocol</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[Title, acronym, protocol version and date]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Jointly controlled operations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collection of questionnaire and interview data at each site under the Protocol; storage in the shared project area at </w:t>
            </w:r>
            <w:r>
              <w:rPr>
                <w:highlight w:val="yellow"/>
                <w:highlightCs w:val="yellow"/>
              </w:rPr>
              <w:t xml:space="preserve">[Party]</w:t>
            </w:r>
            <w:r>
              <w:t xml:space="preserve">; joint analysis of the pseudonymised dataset.</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Not covered (separate controllers)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each Party's recruitment from its own registers; each Party's own follow-on studies; </w:t>
            </w:r>
            <w:r>
              <w:rPr>
                <w:highlight w:val="yellow"/>
                <w:highlightCs w:val="yellow"/>
              </w:rPr>
              <w:t xml:space="preserve">[Party]</w:t>
            </w:r>
            <w:r>
              <w:t xml:space="preserve">'s patient care.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Purposes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[Research questions and purposes of the processing]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Categories of data subjects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adult research participants; project staff.</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Categories of personal data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contact details; consent records; questionnaire answers; audio recordings and transcripts; </w:t>
            </w:r>
            <w:r>
              <w:rPr>
                <w:highlight w:val="yellow"/>
                <w:highlightCs w:val="yellow"/>
              </w:rPr>
              <w:t xml:space="preserve">[health data]</w:t>
            </w:r>
            <w:r>
              <w:t xml:space="preserv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Special categories (Article 9) and criminal offence data (Article 10)</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[Yes / No; which categories]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Legal basis (Article 6)</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[e.g. Article 6(1)(e) task in the public interest, with national law reference]</w:t>
            </w:r>
            <w:r>
              <w:t xml:space="preserve"> </w:t>
            </w:r>
            <w:r>
              <w:rPr>
                <w:highlight w:val="yellow"/>
                <w:highlightCs w:val="yellow"/>
              </w:rPr>
              <w:t xml:space="preserve">[state any Party using a different basis]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Article 9(2) condition and national law</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[e.g. Article 9(2)(j) with [national provision]</w:t>
            </w:r>
            <w:r>
              <w:t xml:space="preserv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Ethics approval</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[Authority, reference number, date, holder]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Sources of data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[Collected from participants / registers / other]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Storage locations and systems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[System, operator, location (country)]</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Processors</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 service, Party engaging it, location, DPA reference]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Transfers outside the EEA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[None / country, recipient, transfer tool]</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Pseudonymisation</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[Method; which Party holds the key; where the key is stored]</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Retention and end of Project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[Identifiable data until [date or event]</w:t>
            </w:r>
            <w:r>
              <w:t xml:space="preserve">; pseudonymised data until </w:t>
            </w:r>
            <w:r>
              <w:rPr>
                <w:highlight w:val="yellow"/>
                <w:highlightCs w:val="yellow"/>
              </w:rPr>
              <w:t xml:space="preserve">[date]</w:t>
            </w:r>
            <w:r>
              <w:t xml:space="preserve">; archiving under </w:t>
            </w:r>
            <w:r>
              <w:rPr>
                <w:highlight w:val="yellow"/>
                <w:highlightCs w:val="yellow"/>
              </w:rPr>
              <w:t xml:space="preserve">[law]</w:t>
            </w:r>
            <w:r>
              <w:t xml:space="preserve">]</w:t>
            </w:r>
          </w:p>
        </w:tc>
      </w:tr>
    </w:tbl>
    <w:p/>
    <w:p>
      <w:pPr>
        <w:pStyle w:val="Heading1"/>
      </w:pPr>
      <w:r>
        <w:t xml:space="preserve">Annex 2: Responsibility matrix</w:t>
      </w:r>
    </w:p>
    <w:p>
      <w:pPr>
        <w:spacing w:after="120"/>
      </w:pPr>
      <w:r>
        <w:t xml:space="preserve">Mark the Party that leads each task and the Parties that support it. Every row must have exactly one lead.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1354"/>
        <w:gridCol w:w="1354"/>
        <w:gridCol w:w="2708"/>
      </w:tblGrid>
      <w:tr>
        <w:trPr>
          <w:tblHeader/>
        </w:trPr>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Obligation (GDPR)</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Lead</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Support</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Notes</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Compliance with principles, including data minimisation (Art. 5, 89(1))</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Legal basis and Article 9 condition documented (Art. 6, 9)</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Ethics approval and amendments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Participant information and consent forms (Art. 13, 14)</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[Each collecting 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Common text agreed by all</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Essence of this agreement made available (Art. 26(2))</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See Annex 4</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Contact point and handling data subject requests (Art. 15 to 22)</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Forwarding within </w:t>
            </w:r>
            <w:r>
              <w:rPr>
                <w:highlight w:val="yellow"/>
                <w:highlightCs w:val="yellow"/>
              </w:rPr>
              <w:t xml:space="preserve">[3]</w:t>
            </w:r>
            <w:r>
              <w:t xml:space="preserve"> working days</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Security of shared systems (Art. 32)</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[Operating 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Security of each Party's own systems (Art. 32)</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Each 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Breach notification to authority and data subjects (Art. 33, 34)</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Internal notice within </w:t>
            </w:r>
            <w:r>
              <w:rPr>
                <w:highlight w:val="yellow"/>
                <w:highlightCs w:val="yellow"/>
              </w:rPr>
              <w:t xml:space="preserve">[24]</w:t>
            </w:r>
            <w:r>
              <w:t xml:space="preserve"> hours</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DPIA and prior consultation (Art. 35, 36)</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Processor contracts (Art. 28)</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Party engaging the processor</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Listed in Annex 1</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Transfers outside the EEA (Chapter V)</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Party making the transfer</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Record of processing activities (Art. 30)</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Each 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Communication with supervisory authorities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Retention, deletion and archiving</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All</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Annex 3: Technical and organisational security measures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98"/>
        <w:gridCol w:w="2076"/>
        <w:gridCol w:w="2076"/>
        <w:gridCol w:w="2076"/>
      </w:tblGrid>
      <w:tr>
        <w:trPr>
          <w:tblHeader/>
        </w:trPr>
        <w:tc>
          <w:tcPr>
            <w:tcW w:type="dxa" w:w="279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Measure</w:t>
            </w:r>
          </w:p>
        </w:tc>
        <w:tc>
          <w:tcPr>
            <w:tcW w:type="dxa" w:w="207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Party 1</w:t>
            </w:r>
          </w:p>
        </w:tc>
        <w:tc>
          <w:tcPr>
            <w:tcW w:type="dxa" w:w="207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Party 2</w:t>
            </w:r>
          </w:p>
        </w:tc>
        <w:tc>
          <w:tcPr>
            <w:tcW w:type="dxa" w:w="207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Shared systems</w:t>
            </w:r>
          </w:p>
        </w:tc>
      </w:tr>
      <w:tr>
        <w:tc>
          <w:tcPr>
            <w:tcW w:type="dxa" w:w="279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Storage approved for the data classification</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[Service]</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[Service]</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[Service]</w:t>
            </w:r>
          </w:p>
        </w:tc>
      </w:tr>
      <w:tr>
        <w:tc>
          <w:tcPr>
            <w:tcW w:type="dxa" w:w="279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Access control and multi-factor authentication</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279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Encryption in transit and at rest</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279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Pseudonymisation and separate key storage</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279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Logging of access</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279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Backup and restore</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279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Secure transfer between Parties</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279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Confidentiality commitments of staff</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279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Secure deletion</w:t>
            </w: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076"/>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Annex 4: Essence of the arrangement (for participant information)</w:t>
      </w:r>
    </w:p>
    <w:p>
      <w:pPr>
        <w:spacing w:after="120"/>
      </w:pPr>
      <w:r>
        <w:rPr>
          <w:highlight w:val="yellow"/>
          <w:highlightCs w:val="yellow"/>
        </w:rPr>
        <w:t xml:space="preserve">[Party 1]</w:t>
      </w:r>
      <w:r>
        <w:t xml:space="preserve">, </w:t>
      </w:r>
      <w:r>
        <w:rPr>
          <w:highlight w:val="yellow"/>
          <w:highlightCs w:val="yellow"/>
        </w:rPr>
        <w:t xml:space="preserve">[Party 2]</w:t>
      </w:r>
      <w:r>
        <w:t xml:space="preserve"> and </w:t>
      </w:r>
      <w:r>
        <w:rPr>
          <w:highlight w:val="yellow"/>
          <w:highlightCs w:val="yellow"/>
        </w:rPr>
        <w:t xml:space="preserve">[Party n]</w:t>
      </w:r>
      <w:r>
        <w:t xml:space="preserve"> are jointly responsible (joint controllers) for the processing of your personal data in the research project </w:t>
      </w:r>
      <w:r>
        <w:rPr>
          <w:highlight w:val="yellow"/>
          <w:highlightCs w:val="yellow"/>
        </w:rPr>
        <w:t xml:space="preserve">[title]</w:t>
      </w:r>
      <w:r>
        <w:t xml:space="preserve">. They have agreed in writing who is responsible for what. </w:t>
      </w:r>
      <w:r>
        <w:rPr>
          <w:highlight w:val="yellow"/>
          <w:highlightCs w:val="yellow"/>
        </w:rPr>
        <w:t xml:space="preserve">[Party]</w:t>
      </w:r>
      <w:r>
        <w:t xml:space="preserve"> is responsible for giving you information about the processing and is your contact point for questions and requests: </w:t>
      </w:r>
      <w:r>
        <w:rPr>
          <w:highlight w:val="yellow"/>
          <w:highlightCs w:val="yellow"/>
        </w:rPr>
        <w:t xml:space="preserve">[email]</w:t>
      </w:r>
      <w:r>
        <w:t xml:space="preserve">. </w:t>
      </w:r>
      <w:r>
        <w:rPr>
          <w:highlight w:val="yellow"/>
          <w:highlightCs w:val="yellow"/>
        </w:rPr>
        <w:t xml:space="preserve">[Party]</w:t>
      </w:r>
      <w:r>
        <w:t xml:space="preserve"> is responsible for </w:t>
      </w:r>
      <w:r>
        <w:rPr>
          <w:highlight w:val="yellow"/>
          <w:highlightCs w:val="yellow"/>
        </w:rPr>
        <w:t xml:space="preserve">[security of the shared project storage / reporting personal data breaches]</w:t>
      </w:r>
      <w:r>
        <w:t xml:space="preserve">. Each organisation is responsible for the personal data it collects and stores. You can exercise your rights, for example the right of access, by contacting any of the organisations; they will forward your request to the right place. You can also complain to a data protection supervisory authority, for example </w:t>
      </w:r>
      <w:r>
        <w:rPr>
          <w:highlight w:val="yellow"/>
          <w:highlightCs w:val="yellow"/>
        </w:rPr>
        <w:t xml:space="preserve">[authority in the country where you live or work]</w:t>
      </w:r>
      <w:r>
        <w:t xml:space="preserve">.</w:t>
      </w:r>
    </w:p>
    <w:p>
      <w:pPr>
        <w:pStyle w:val="Heading1"/>
      </w:pPr>
      <w:r>
        <w:t xml:space="preserve">Annex 5: Contact points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2527"/>
        <w:gridCol w:w="1986"/>
        <w:gridCol w:w="2527"/>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Party</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Role</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Name</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Email and phone</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 1]</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protection contact</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 1]</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Breach notifications</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 2]</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protection contact</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[Party 2]</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Breach notifications</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Review log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54"/>
        <w:gridCol w:w="1354"/>
        <w:gridCol w:w="4062"/>
        <w:gridCol w:w="2257"/>
      </w:tblGrid>
      <w:tr>
        <w:trPr>
          <w:tblHeader/>
        </w:trPr>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Version</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Date</w:t>
            </w:r>
          </w:p>
        </w:tc>
        <w:tc>
          <w:tcPr>
            <w:tcW w:type="dxa" w:w="406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Change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Approved by</w:t>
            </w:r>
          </w:p>
        </w:tc>
      </w:tr>
      <w:tr>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1.0</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First version</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[Names]</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abstractNum w:abstractNumId="9" w15:restartNumberingAfterBreak="0">
    <w:multiLevelType w:val="hybridMultilevel"/>
    <w:lvl w:ilvl="0" w15:tentative="1">
      <w:start w:val="1"/>
      <w:numFmt w:val="decimal"/>
      <w:lvlText w:val="%1."/>
      <w:lvlJc w:val="left"/>
      <w:pPr>
        <w:ind w:left="720" w:hanging="360"/>
      </w:pPr>
    </w:lvl>
  </w:abstractNum>
  <w:abstractNum w:abstractNumId="10" w15:restartNumberingAfterBreak="0">
    <w:multiLevelType w:val="hybridMultilevel"/>
    <w:lvl w:ilvl="0" w15:tentative="1">
      <w:start w:val="1"/>
      <w:numFmt w:val="decimal"/>
      <w:lvlText w:val="%1."/>
      <w:lvlJc w:val="left"/>
      <w:pPr>
        <w:ind w:left="720" w:hanging="360"/>
      </w:pPr>
    </w:lvl>
  </w:abstractNum>
  <w:abstractNum w:abstractNumId="11" w15:restartNumberingAfterBreak="0">
    <w:multiLevelType w:val="hybridMultilevel"/>
    <w:lvl w:ilvl="0" w15:tentative="1">
      <w:start w:val="1"/>
      <w:numFmt w:val="decimal"/>
      <w:lvlText w:val="%1."/>
      <w:lvlJc w:val="left"/>
      <w:pPr>
        <w:ind w:left="720" w:hanging="360"/>
      </w:pPr>
    </w:lvl>
  </w:abstractNum>
  <w:abstractNum w:abstractNumId="12" w15:restartNumberingAfterBreak="0">
    <w:multiLevelType w:val="hybridMultilevel"/>
    <w:lvl w:ilvl="0" w15:tentative="1">
      <w:start w:val="1"/>
      <w:numFmt w:val="decimal"/>
      <w:lvlText w:val="%1."/>
      <w:lvlJc w:val="left"/>
      <w:pPr>
        <w:ind w:left="720" w:hanging="360"/>
      </w:pPr>
    </w:lvl>
  </w:abstractNum>
  <w:abstractNum w:abstractNumId="13" w15:restartNumberingAfterBreak="0">
    <w:multiLevelType w:val="hybridMultilevel"/>
    <w:lvl w:ilvl="0" w15:tentative="1">
      <w:start w:val="1"/>
      <w:numFmt w:val="decimal"/>
      <w:lvlText w:val="%1."/>
      <w:lvlJc w:val="left"/>
      <w:pPr>
        <w:ind w:left="720" w:hanging="360"/>
      </w:pPr>
    </w:lvl>
  </w:abstractNum>
  <w:abstractNum w:abstractNumId="14" w15:restartNumberingAfterBreak="0">
    <w:multiLevelType w:val="hybridMultilevel"/>
    <w:lvl w:ilvl="0" w15:tentative="1">
      <w:start w:val="1"/>
      <w:numFmt w:val="decimal"/>
      <w:lvlText w:val="%1."/>
      <w:lvlJc w:val="left"/>
      <w:pPr>
        <w:ind w:left="720" w:hanging="360"/>
      </w:pPr>
    </w:lvl>
  </w:abstractNum>
  <w:abstractNum w:abstractNumId="15" w15:restartNumberingAfterBreak="0">
    <w:multiLevelType w:val="hybridMultilevel"/>
    <w:lvl w:ilvl="0" w15:tentative="1">
      <w:start w:val="1"/>
      <w:numFmt w:val="decimal"/>
      <w:lvlText w:val="%1."/>
      <w:lvlJc w:val="left"/>
      <w:pPr>
        <w:ind w:left="720" w:hanging="360"/>
      </w:pPr>
    </w:lvl>
  </w:abstractNum>
  <w:abstractNum w:abstractNumId="16"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10"/>
    <w:lvlOverride w:ilvl="0">
      <w:startOverride w:val="1"/>
    </w:lvlOverride>
  </w:num>
  <w:num w:numId="10">
    <w:abstractNumId w:val="11"/>
    <w:lvlOverride w:ilvl="0">
      <w:startOverride w:val="1"/>
    </w:lvlOverride>
  </w:num>
  <w:num w:numId="11">
    <w:abstractNumId w:val="12"/>
    <w:lvlOverride w:ilvl="0">
      <w:startOverride w:val="1"/>
    </w:lvlOverride>
  </w:num>
  <w:num w:numId="12">
    <w:abstractNumId w:val="13"/>
    <w:lvlOverride w:ilvl="0">
      <w:startOverride w:val="1"/>
    </w:lvlOverride>
  </w:num>
  <w:num w:numId="13">
    <w:abstractNumId w:val="14"/>
    <w:lvlOverride w:ilvl="0">
      <w:startOverride w:val="1"/>
    </w:lvlOverride>
  </w:num>
  <w:num w:numId="14">
    <w:abstractNumId w:val="15"/>
    <w:lvlOverride w:ilvl="0">
      <w:startOverride w:val="1"/>
    </w:lvlOverride>
  </w:num>
  <w:num w:numId="15">
    <w:abstractNumId w:val="1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controller agreement for a research collaboration</dc:title>
  <dc:creator>Validemic</dc:creator>
  <cp:lastModifiedBy>Un-named</cp:lastModifiedBy>
  <cp:revision>1</cp:revision>
  <dcterms:created xsi:type="dcterms:W3CDTF">2026-10-07T07:27:58.320Z</dcterms:created>
  <dcterms:modified xsi:type="dcterms:W3CDTF">2026-10-07T07:27:58.320Z</dcterms:modified>
</cp:coreProperties>
</file>

<file path=docProps/custom.xml><?xml version="1.0" encoding="utf-8"?>
<Properties xmlns="http://schemas.openxmlformats.org/officeDocument/2006/custom-properties" xmlns:vt="http://schemas.openxmlformats.org/officeDocument/2006/docPropsVTypes"/>
</file>