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Henkilötietojen käsittelysopimus</w:t>
      </w:r>
    </w:p>
    <w:p>
      <w:pPr>
        <w:spacing w:after="240"/>
      </w:pPr>
      <w:r>
        <w:rPr>
          <w:color w:val="64748B"/>
        </w:rPr>
        <w:t xml:space="preserve">Malli korkeakouluille, kun korkeakoulu on rekisterinpitäjä (EU:n yleisen tietosuoja-asetuksen 28 artikla). Validemic, versio 7.10.2026.</w:t>
      </w:r>
    </w:p>
    <w:p>
      <w:pPr>
        <w:pBdr>
          <w:left w:val="single" w:color="F59E0B" w:sz="18" w:space="8"/>
        </w:pBdr>
        <w:shd w:fill="FFFBEB" w:color="auto" w:val="clear"/>
        <w:spacing w:after="160" w:before="120"/>
      </w:pPr>
      <w:r>
        <w:rPr>
          <w:i/>
          <w:iCs/>
        </w:rPr>
        <w:t xml:space="preserve">Tämä malli ei ole oikeudellista neuvontaa. Se on yleinen pohja, joka on muokattava hankinnan, palvelun ja korkeakoulunne linjausten mukaiseksi ja tarkistutettava lakimiehellä tai tietosuojavastaavalla ennen käyttöä. Jos hankinnassa käytetään JYSE 2025- tai JIT 2025 -ehtoja, käyttäkää ensisijaisesti valtiovarainministeriön henkilötietoliitettä (JYSE/JIT – Henkilötiedot 2025).</w:t>
      </w:r>
    </w:p>
    <w:p>
      <w:pPr>
        <w:pStyle w:val="Heading1"/>
      </w:pPr>
      <w:r>
        <w:t xml:space="preserve">Käyttöohje (poistakaa ennen allekirjoitusta)</w:t>
      </w:r>
    </w:p>
    <w:p>
      <w:pPr>
        <w:pStyle w:val="ListParagraph"/>
        <w:numPr>
          <w:ilvl w:val="0"/>
          <w:numId w:val="2"/>
        </w:numPr>
      </w:pPr>
      <w:r>
        <w:t xml:space="preserve">Täyttäkää kaikki </w:t>
      </w:r>
      <w:r>
        <w:rPr>
          <w:highlight w:val="yellow"/>
          <w:highlightCs w:val="yellow"/>
        </w:rPr>
        <w:t xml:space="preserve">[hakasulkeissa]</w:t>
      </w:r>
      <w:r>
        <w:t xml:space="preserve"> olevat kohdat ja poistakaa vaihtoehdot, jotka eivät sovellu.</w:t>
      </w:r>
    </w:p>
    <w:p>
      <w:pPr>
        <w:pStyle w:val="ListParagraph"/>
        <w:numPr>
          <w:ilvl w:val="0"/>
          <w:numId w:val="2"/>
        </w:numPr>
      </w:pPr>
      <w:r>
        <w:t xml:space="preserve">Kirjoittakaa liite 1 (käsittelyn kuvaus) mahdollisimman konkreettisesti. Euroopan tietosuojaneuvoston suuntaviivojen 07/2020 mukaan sopimuksessa ei pitäisi vain toistaa asetuksen säännöksiä.</w:t>
      </w:r>
    </w:p>
    <w:p>
      <w:pPr>
        <w:pStyle w:val="ListParagraph"/>
        <w:numPr>
          <w:ilvl w:val="0"/>
          <w:numId w:val="2"/>
        </w:numPr>
      </w:pPr>
      <w:r>
        <w:t xml:space="preserve">Pyytäkää toimittajalta liitteisiin 2–4 tarvittavat tiedot jo tarjous- tai arviointivaiheessa: turvatoimet, alikäsittelijät sijainteineen ja mahdolliset siirrot EU:n ja ETA:n ulkopuolelle.</w:t>
      </w:r>
    </w:p>
    <w:p>
      <w:pPr>
        <w:pStyle w:val="ListParagraph"/>
        <w:numPr>
          <w:ilvl w:val="0"/>
          <w:numId w:val="2"/>
        </w:numPr>
      </w:pPr>
      <w:r>
        <w:t xml:space="preserve">Jos toimittaja tarjoaa oman sopimuspohjansa, voitte käyttää tätä mallia vertailukohtana: jokaiselle tämän mallin kohdalle pitäisi löytyä vastine.</w:t>
      </w:r>
    </w:p>
    <w:p>
      <w:pPr>
        <w:pStyle w:val="ListParagraph"/>
        <w:numPr>
          <w:ilvl w:val="0"/>
          <w:numId w:val="2"/>
        </w:numPr>
      </w:pPr>
      <w:r>
        <w:t xml:space="preserve">Kirjatkaa käsittely korkeakoulun selosteeseen käsittelytoimista ja arvioikaa, tarvitaanko tietosuojaa koskeva vaikutustenarviointi (DPIA).</w:t>
      </w:r>
    </w:p>
    <w:p>
      <w:pPr>
        <w:pStyle w:val="Heading1"/>
      </w:pPr>
      <w:r>
        <w:t xml:space="preserve">Sopijapuolet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3430"/>
        <w:gridCol w:w="3430"/>
      </w:tblGrid>
      <w:tr>
        <w:trPr>
          <w:tblHeader/>
        </w:trPr>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Rekisterinpitäjä</w:t>
            </w: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Henkilötietojen käsittelijä</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Nimi</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[Korkeakoulun virallinen nimi]</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[Toimittajan virallinen nimi]</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Y-tunnus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[Y-tunnus]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[Y-tunnus tai vastaava rekisterinumero]</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Osoite</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[Osoite]</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[Osoite]</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Tietosuojavastaava tai tietosuojayhteyshenkilö</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sähköposti, puhelin]</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sähköposti, puhelin]</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Sopimusasioiden yhteyshenkilö</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sähköposti]</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sähköposti]</w:t>
            </w:r>
          </w:p>
        </w:tc>
      </w:tr>
    </w:tbl>
    <w:p/>
    <w:p>
      <w:pPr>
        <w:spacing w:after="120"/>
      </w:pPr>
      <w:r>
        <w:t xml:space="preserve">Tämä sopimus on osa sopijapuolten välistä sopimusta </w:t>
      </w:r>
      <w:r>
        <w:rPr>
          <w:highlight w:val="yellow"/>
          <w:highlightCs w:val="yellow"/>
        </w:rPr>
        <w:t xml:space="preserve">[pääsopimuksen nimi, numero ja päiväys]</w:t>
      </w:r>
      <w:r>
        <w:t xml:space="preserve"> (jäljempänä </w:t>
      </w:r>
      <w:r>
        <w:rPr>
          <w:b/>
          <w:bCs/>
        </w:rPr>
        <w:t xml:space="preserve">pääsopimus</w:t>
      </w:r>
      <w:r>
        <w:t xml:space="preserve">), jonka perusteella käsittelijä tuottaa rekisterinpitäjälle palvelun </w:t>
      </w:r>
      <w:r>
        <w:rPr>
          <w:highlight w:val="yellow"/>
          <w:highlightCs w:val="yellow"/>
        </w:rPr>
        <w:t xml:space="preserve">[palvelun nimi]</w:t>
      </w:r>
      <w:r>
        <w:t xml:space="preserve"> (jäljempänä </w:t>
      </w:r>
      <w:r>
        <w:rPr>
          <w:b/>
          <w:bCs/>
        </w:rPr>
        <w:t xml:space="preserve">palvelu</w:t>
      </w:r>
      <w:r>
        <w:t xml:space="preserve">).</w:t>
      </w:r>
    </w:p>
    <w:p>
      <w:pPr>
        <w:pStyle w:val="Heading1"/>
      </w:pPr>
      <w:r>
        <w:t xml:space="preserve">1. Tarkoitus ja soveltamisala</w:t>
      </w:r>
    </w:p>
    <w:p>
      <w:pPr>
        <w:pStyle w:val="ListParagraph"/>
        <w:numPr>
          <w:ilvl w:val="0"/>
          <w:numId w:val="3"/>
        </w:numPr>
      </w:pPr>
      <w:r>
        <w:t xml:space="preserve">Tällä sopimuksella sovitaan ehdoista, joiden mukaisesti käsittelijä käsittelee henkilötietoja rekisterinpitäjän lukuun, sekä sopijapuolten oikeuksista ja velvollisuuksista EU:n yleisen tietosuoja-asetuksen (EU) 2016/679 (jäljempänä </w:t>
      </w:r>
      <w:r>
        <w:rPr>
          <w:b/>
          <w:bCs/>
        </w:rPr>
        <w:t xml:space="preserve">tietosuoja-asetus</w:t>
      </w:r>
      <w:r>
        <w:t xml:space="preserve">) 28 artiklan mukaisesti.</w:t>
      </w:r>
    </w:p>
    <w:p>
      <w:pPr>
        <w:pStyle w:val="ListParagraph"/>
        <w:numPr>
          <w:ilvl w:val="0"/>
          <w:numId w:val="3"/>
        </w:numPr>
      </w:pPr>
      <w:r>
        <w:t xml:space="preserve">Sopimusta sovelletaan kaikkeen käsittelyyn, jota käsittelijä tai sen alikäsittelijät suorittavat rekisterinpitäjän lukuun palvelun yhteydessä, mukaan lukien etäyhteydellä tapahtuva pääsy henkilötietoihin esimerkiksi tuki- tai ylläpitotehtävissä.</w:t>
      </w:r>
    </w:p>
    <w:p>
      <w:pPr>
        <w:pStyle w:val="ListParagraph"/>
        <w:numPr>
          <w:ilvl w:val="0"/>
          <w:numId w:val="3"/>
        </w:numPr>
      </w:pPr>
      <w:r>
        <w:t xml:space="preserve">Käsittelyn kohde, kesto, luonne ja tarkoitus, henkilötietojen tyypit ja rekisteröityjen ryhmät on kuvattu liitteessä 1.</w:t>
      </w:r>
    </w:p>
    <w:p>
      <w:pPr>
        <w:pStyle w:val="ListParagraph"/>
        <w:numPr>
          <w:ilvl w:val="0"/>
          <w:numId w:val="3"/>
        </w:numPr>
      </w:pPr>
      <w:r>
        <w:t xml:space="preserve">Jos tämän sopimuksen ja pääsopimuksen tai käsittelijän yleisten ehtojen välillä on ristiriita henkilötietojen käsittelyä koskevissa asioissa, sovelletaan ensisijaisesti tätä sopimusta.</w:t>
      </w:r>
    </w:p>
    <w:p>
      <w:pPr>
        <w:pStyle w:val="Heading1"/>
      </w:pPr>
      <w:r>
        <w:t xml:space="preserve">2. Määritelmät</w:t>
      </w:r>
    </w:p>
    <w:p>
      <w:pPr>
        <w:spacing w:after="120"/>
      </w:pPr>
      <w:r>
        <w:t xml:space="preserve">Tässä sopimuksessa käytetään tietosuoja-asetuksen määritelmiä, kuten henkilötieto, käsittely, rekisterinpitäjä, henkilötietojen käsittelijä, rekisteröity ja henkilötietojen tietoturvaloukkaus. Lisäksi:</w:t>
      </w:r>
    </w:p>
    <w:p>
      <w:pPr>
        <w:pStyle w:val="ListParagraph"/>
        <w:numPr>
          <w:ilvl w:val="0"/>
          <w:numId w:val="2"/>
        </w:numPr>
      </w:pPr>
      <w:r>
        <w:rPr>
          <w:b/>
          <w:bCs/>
        </w:rPr>
        <w:t xml:space="preserve">Alikäsittelijä</w:t>
      </w:r>
      <w:r>
        <w:t xml:space="preserve"> tarkoittaa toista henkilötietojen käsittelijää, jota käsittelijä käyttää rekisterinpitäjän henkilötietojen käsittelyssä.</w:t>
      </w:r>
    </w:p>
    <w:p>
      <w:pPr>
        <w:pStyle w:val="ListParagraph"/>
        <w:numPr>
          <w:ilvl w:val="0"/>
          <w:numId w:val="2"/>
        </w:numPr>
      </w:pPr>
      <w:r>
        <w:rPr>
          <w:b/>
          <w:bCs/>
        </w:rPr>
        <w:t xml:space="preserve">Tietosuojalainsäädäntö</w:t>
      </w:r>
      <w:r>
        <w:t xml:space="preserve"> tarkoittaa tietosuoja-asetusta, tietosuojalakia (1050/2018) ja muuta käsittelyyn sovellettavaa unionin tai Suomen tietosuojasääntelyä sekä valvontaviranomaisten sitovia päätöksiä.</w:t>
      </w:r>
    </w:p>
    <w:p>
      <w:pPr>
        <w:pStyle w:val="ListParagraph"/>
        <w:numPr>
          <w:ilvl w:val="0"/>
          <w:numId w:val="2"/>
        </w:numPr>
      </w:pPr>
      <w:r>
        <w:rPr>
          <w:b/>
          <w:bCs/>
        </w:rPr>
        <w:t xml:space="preserve">Kolmas maa</w:t>
      </w:r>
      <w:r>
        <w:t xml:space="preserve"> tarkoittaa valtiota, joka ei kuulu Euroopan talousalueeseen (ETA).</w:t>
      </w:r>
    </w:p>
    <w:p>
      <w:pPr>
        <w:pStyle w:val="Heading1"/>
      </w:pPr>
      <w:r>
        <w:t xml:space="preserve">3. Rekisterinpitäjän velvollisuudet ja oikeudet</w:t>
      </w:r>
    </w:p>
    <w:p>
      <w:pPr>
        <w:pStyle w:val="ListParagraph"/>
        <w:numPr>
          <w:ilvl w:val="0"/>
          <w:numId w:val="4"/>
        </w:numPr>
      </w:pPr>
      <w:r>
        <w:t xml:space="preserve">Rekisterinpitäjä vastaa siitä, että sillä on käsittelylle oikeusperuste ja että käsittelijälle annettavat ohjeet ovat tietosuojalainsäädännön mukaisia.</w:t>
      </w:r>
    </w:p>
    <w:p>
      <w:pPr>
        <w:pStyle w:val="ListParagraph"/>
        <w:numPr>
          <w:ilvl w:val="0"/>
          <w:numId w:val="4"/>
        </w:numPr>
      </w:pPr>
      <w:r>
        <w:t xml:space="preserve">Rekisterinpitäjä antaa käsittelijälle dokumentoidut ohjeet. Tämä sopimus liitteineen muodostaa rekisterinpitäjän ohjeet sopimuksen alkaessa. Rekisterinpitäjä voi antaa lisäohjeita kirjallisesti, myös sähköpostitse, ja sopijapuolet säilyttävät ne tämän sopimuksen yhteydessä.</w:t>
      </w:r>
    </w:p>
    <w:p>
      <w:pPr>
        <w:pStyle w:val="ListParagraph"/>
        <w:numPr>
          <w:ilvl w:val="0"/>
          <w:numId w:val="4"/>
        </w:numPr>
      </w:pPr>
      <w:r>
        <w:t xml:space="preserve">Rekisterinpitäjällä on oikeus valvoa tämän sopimuksen noudattamista kohdan 12 mukaisesti.</w:t>
      </w:r>
    </w:p>
    <w:p>
      <w:pPr>
        <w:pStyle w:val="ListParagraph"/>
        <w:numPr>
          <w:ilvl w:val="0"/>
          <w:numId w:val="4"/>
        </w:numPr>
      </w:pPr>
      <w:r>
        <w:t xml:space="preserve">Rekisterinpitäjä ilmoittaa käsittelijälle tietosuojavastaavansa tai tietosuoja-asioiden yhteyshenkilönsä ja pitää tiedon ajan tasalla.</w:t>
      </w:r>
    </w:p>
    <w:p>
      <w:pPr>
        <w:pStyle w:val="Heading1"/>
      </w:pPr>
      <w:r>
        <w:t xml:space="preserve">4. Käsittely vain ohjeiden mukaan (28 artiklan 3 kohdan a alakohta)</w:t>
      </w:r>
    </w:p>
    <w:p>
      <w:pPr>
        <w:pStyle w:val="ListParagraph"/>
        <w:numPr>
          <w:ilvl w:val="0"/>
          <w:numId w:val="5"/>
        </w:numPr>
      </w:pPr>
      <w:r>
        <w:t xml:space="preserve">Käsittelijä käsittelee henkilötietoja ainoastaan rekisterinpitäjän dokumentoitujen ohjeiden mukaisesti ja vain siinä laajuudessa kuin palvelun tuottaminen edellyttää. Tämä koskee myös henkilötietojen siirtoja kolmanteen maahan tai kansainväliselle järjestölle.</w:t>
      </w:r>
    </w:p>
    <w:p>
      <w:pPr>
        <w:pStyle w:val="ListParagraph"/>
        <w:numPr>
          <w:ilvl w:val="0"/>
          <w:numId w:val="5"/>
        </w:numPr>
      </w:pPr>
      <w:r>
        <w:t xml:space="preserve">Käsittelijä ei käytä henkilötietoja eikä niistä johdettuja tietoja omiin tarkoituksiinsa. Tällaisia ovat esimerkiksi markkinointi, profilointi, palvelun tai muiden tuotteiden kehittäminen sekä tekoälymallien kouluttaminen, hienosäätö tai arviointi.</w:t>
      </w:r>
    </w:p>
    <w:p>
      <w:pPr>
        <w:pStyle w:val="ListParagraph"/>
        <w:numPr>
          <w:ilvl w:val="0"/>
          <w:numId w:val="5"/>
        </w:numPr>
      </w:pPr>
      <w:r>
        <w:t xml:space="preserve">Jos käsittelijään sovellettava unionin tai jäsenvaltion lainsäädäntö velvoittaa sen käsittelemään henkilötietoja muuten kuin ohjeiden mukaan, käsittelijä ilmoittaa rekisterinpitäjälle tästä vaatimuksesta ennen käsittelyä, paitsi jos laki kieltää ilmoittamisen yleistä etua koskevien tärkeiden syiden vuoksi.</w:t>
      </w:r>
    </w:p>
    <w:p>
      <w:pPr>
        <w:pStyle w:val="ListParagraph"/>
        <w:numPr>
          <w:ilvl w:val="0"/>
          <w:numId w:val="5"/>
        </w:numPr>
      </w:pPr>
      <w:r>
        <w:t xml:space="preserve">Käsittelijä ilmoittaa rekisterinpitäjälle välittömästi, jos se katsoo, että ohje rikkoo tietosuoja-asetusta tai muita unionin tai jäsenvaltion tietosuojasäännöksiä. Käsittelijällä on oikeus lykätä kyseisen ohjeen toteuttamista, kunnes rekisterinpitäjä on vahvistanut tai muuttanut sen.</w:t>
      </w:r>
    </w:p>
    <w:p>
      <w:pPr>
        <w:pStyle w:val="Heading1"/>
      </w:pPr>
      <w:r>
        <w:t xml:space="preserve">5. Salassapito ja käyttöoikeudet (b alakohta)</w:t>
      </w:r>
    </w:p>
    <w:p>
      <w:pPr>
        <w:pStyle w:val="ListParagraph"/>
        <w:numPr>
          <w:ilvl w:val="0"/>
          <w:numId w:val="6"/>
        </w:numPr>
      </w:pPr>
      <w:r>
        <w:t xml:space="preserve">Käsittelijä varmistaa, että kaikki henkilöt, joilla on oikeus käsitellä henkilötietoja, mukaan lukien työntekijät, vuokratyöntekijät ja alikäsittelijöiden henkilöstö, ovat sitoutuneet kirjallisesti noudattamaan salassapitovelvollisuutta tai heitä koskee asianmukainen lakisääteinen salassapitovelvollisuus.</w:t>
      </w:r>
    </w:p>
    <w:p>
      <w:pPr>
        <w:pStyle w:val="ListParagraph"/>
        <w:numPr>
          <w:ilvl w:val="0"/>
          <w:numId w:val="6"/>
        </w:numPr>
      </w:pPr>
      <w:r>
        <w:t xml:space="preserve">Käsittelijä antaa pääsyn henkilötietoihin vain niille henkilöille, jotka tarvitsevat tietoja tehtäviensä hoitamiseksi, ja huolehtii siitä, että he tuntevat tämän sopimuksen velvoitteet.</w:t>
      </w:r>
    </w:p>
    <w:p>
      <w:pPr>
        <w:pStyle w:val="ListParagraph"/>
        <w:numPr>
          <w:ilvl w:val="0"/>
          <w:numId w:val="6"/>
        </w:numPr>
      </w:pPr>
      <w:r>
        <w:t xml:space="preserve">Salassapitovelvollisuus jatkuu sopimuksen päättymisen jälkeen.</w:t>
      </w:r>
    </w:p>
    <w:p>
      <w:pPr>
        <w:pStyle w:val="Heading1"/>
      </w:pPr>
      <w:r>
        <w:t xml:space="preserve">6. Käsittelyn turvallisuus (c alakohta)</w:t>
      </w:r>
    </w:p>
    <w:p>
      <w:pPr>
        <w:pStyle w:val="ListParagraph"/>
        <w:numPr>
          <w:ilvl w:val="0"/>
          <w:numId w:val="7"/>
        </w:numPr>
      </w:pPr>
      <w:r>
        <w:t xml:space="preserve">Käsittelijä toteuttaa ja dokumentoi tietosuoja-asetuksen 32 artiklan mukaiset tekniset ja organisatoriset toimenpiteet riskiä vastaavan turvallisuustason varmistamiseksi. Vähimmäistoimenpiteet on kuvattu liitteessä 2.</w:t>
      </w:r>
    </w:p>
    <w:p>
      <w:pPr>
        <w:pStyle w:val="ListParagraph"/>
        <w:numPr>
          <w:ilvl w:val="0"/>
          <w:numId w:val="7"/>
        </w:numPr>
      </w:pPr>
      <w:r>
        <w:t xml:space="preserve">Käsittelijä arvioi toimenpiteiden riittävyyttä säännöllisesti, vähintään </w:t>
      </w:r>
      <w:r>
        <w:rPr>
          <w:highlight w:val="yellow"/>
          <w:highlightCs w:val="yellow"/>
        </w:rPr>
        <w:t xml:space="preserve">[kerran vuodessa]</w:t>
      </w:r>
      <w:r>
        <w:t xml:space="preserve">, sekä olennaisten muutosten yhteydessä.</w:t>
      </w:r>
    </w:p>
    <w:p>
      <w:pPr>
        <w:pStyle w:val="ListParagraph"/>
        <w:numPr>
          <w:ilvl w:val="0"/>
          <w:numId w:val="7"/>
        </w:numPr>
      </w:pPr>
      <w:r>
        <w:t xml:space="preserve">Käsittelijä voi muuttaa toimenpiteitä, kunhan suojan taso ei heikkene. Olennaisista muutoksista käsittelijä ilmoittaa rekisterinpitäjälle kirjallisesti etukäteen.</w:t>
      </w:r>
    </w:p>
    <w:p>
      <w:pPr>
        <w:pStyle w:val="Heading1"/>
      </w:pPr>
      <w:r>
        <w:t xml:space="preserve">7. Alikäsittelijät (d alakohta sekä 28 artiklan 2 ja 4 kohta)</w:t>
      </w:r>
    </w:p>
    <w:p>
      <w:pPr>
        <w:spacing w:after="120"/>
      </w:pPr>
      <w:r>
        <w:rPr>
          <w:highlight w:val="yellow"/>
          <w:highlightCs w:val="yellow"/>
        </w:rPr>
        <w:t xml:space="preserve">[Valitkaa jompikumpi vaihtoehto ja poistakaa toinen.]</w:t>
      </w:r>
    </w:p>
    <w:p>
      <w:pPr>
        <w:spacing w:after="120"/>
      </w:pPr>
      <w:r>
        <w:rPr>
          <w:b/>
          <w:bCs/>
        </w:rPr>
        <w:t xml:space="preserve">Vaihtoehto A: erityinen lupa.</w:t>
      </w:r>
      <w:r>
        <w:t xml:space="preserve"> Käsittelijä saa käyttää vain liitteessä 3 lueteltuja alikäsittelijöitä. Uuden alikäsittelijän käyttö tai alikäsittelijän vaihtaminen edellyttää rekisterinpitäjän erillistä kirjallista ennakkolupaa. Käsittelijä toimittaa lupapyynnön vähintään </w:t>
      </w:r>
      <w:r>
        <w:rPr>
          <w:highlight w:val="yellow"/>
          <w:highlightCs w:val="yellow"/>
        </w:rPr>
        <w:t xml:space="preserve">[30]</w:t>
      </w:r>
      <w:r>
        <w:t xml:space="preserve"> päivää ennen aiottua käyttöönottoa.</w:t>
      </w:r>
    </w:p>
    <w:p>
      <w:pPr>
        <w:spacing w:after="120"/>
      </w:pPr>
      <w:r>
        <w:rPr>
          <w:b/>
          <w:bCs/>
        </w:rPr>
        <w:t xml:space="preserve">Vaihtoehto B: yleinen lupa.</w:t>
      </w:r>
      <w:r>
        <w:t xml:space="preserve"> Rekisterinpitäjä antaa yleisen kirjallisen luvan liitteessä 3 lueteltujen alikäsittelijöiden käyttöön. Käsittelijä ilmoittaa rekisterinpitäjän yhteyshenkilölle kirjallisesti ja aktiivisesti jokaisesta suunnitellusta lisäyksestä tai vaihdosta vähintään </w:t>
      </w:r>
      <w:r>
        <w:rPr>
          <w:highlight w:val="yellow"/>
          <w:highlightCs w:val="yellow"/>
        </w:rPr>
        <w:t xml:space="preserve">[30]</w:t>
      </w:r>
      <w:r>
        <w:t xml:space="preserve"> päivää etukäteen. Pelkkä verkkosivulla olevan luettelon päivittäminen ei ole tässä tarkoitettu ilmoitus.</w:t>
      </w:r>
    </w:p>
    <w:p>
      <w:pPr>
        <w:pStyle w:val="ListParagraph"/>
        <w:numPr>
          <w:ilvl w:val="0"/>
          <w:numId w:val="8"/>
        </w:numPr>
      </w:pPr>
      <w:r>
        <w:t xml:space="preserve">Ilmoituksessa tai lupapyynnössä kerrotaan vähintään alikäsittelijän nimi, käsittelypaikat, tehtävät, käsiteltävät henkilötiedot sekä mahdollinen siirto kolmanteen maahan ja sen siirtoperuste.</w:t>
      </w:r>
    </w:p>
    <w:p>
      <w:pPr>
        <w:pStyle w:val="ListParagraph"/>
        <w:numPr>
          <w:ilvl w:val="0"/>
          <w:numId w:val="8"/>
        </w:numPr>
      </w:pPr>
      <w:r>
        <w:t xml:space="preserve">Rekisterinpitäjä voi vastustaa muutosta perustellusta syystä </w:t>
      </w:r>
      <w:r>
        <w:rPr>
          <w:highlight w:val="yellow"/>
          <w:highlightCs w:val="yellow"/>
        </w:rPr>
        <w:t xml:space="preserve">[14]</w:t>
      </w:r>
      <w:r>
        <w:t xml:space="preserve"> päivän kuluessa ilmoituksen vastaanottamisesta. Jos sopijapuolet eivät löydä ratkaisua, rekisterinpitäjällä on oikeus irtisanoa pääsopimus palvelun osalta ilman irtisanomismaksuja tai muita seuraamuksia, ja käsittelijä palauttaa ennalta maksetut, käyttämättä jääneet maksut.</w:t>
      </w:r>
    </w:p>
    <w:p>
      <w:pPr>
        <w:pStyle w:val="ListParagraph"/>
        <w:numPr>
          <w:ilvl w:val="0"/>
          <w:numId w:val="8"/>
        </w:numPr>
      </w:pPr>
      <w:r>
        <w:t xml:space="preserve">Käsittelijä tekee kunkin alikäsittelijän kanssa kirjallisen sopimuksen, jossa alikäsittelijään sovelletaan samoja tietosuojavelvoitteita kuin tässä sopimuksessa, mukaan lukien rekisterinpitäjän auditointioikeus.</w:t>
      </w:r>
    </w:p>
    <w:p>
      <w:pPr>
        <w:pStyle w:val="ListParagraph"/>
        <w:numPr>
          <w:ilvl w:val="0"/>
          <w:numId w:val="8"/>
        </w:numPr>
      </w:pPr>
      <w:r>
        <w:t xml:space="preserve">Käsittelijä vastaa rekisterinpitäjälle alikäsittelijän velvoitteiden täyttämisestä kuin omistaan. Jos rekisterinpitäjä perustellusti katsoo, ettei alikäsittelijä täytä tietosuojavelvoitteitaan, se voi vaatia alikäsittelijän vaihtamista.</w:t>
      </w:r>
    </w:p>
    <w:p>
      <w:pPr>
        <w:pStyle w:val="ListParagraph"/>
        <w:numPr>
          <w:ilvl w:val="0"/>
          <w:numId w:val="8"/>
        </w:numPr>
      </w:pPr>
      <w:r>
        <w:t xml:space="preserve">Käsittelijä pitää liitteen 3 ajan tasalla ja toimittaa sen rekisterinpitäjälle pyynnöstä.</w:t>
      </w:r>
    </w:p>
    <w:p>
      <w:pPr>
        <w:pStyle w:val="Heading1"/>
      </w:pPr>
      <w:r>
        <w:t xml:space="preserve">8. Rekisteröityjen oikeudet (e alakohta)</w:t>
      </w:r>
    </w:p>
    <w:p>
      <w:pPr>
        <w:pStyle w:val="ListParagraph"/>
        <w:numPr>
          <w:ilvl w:val="0"/>
          <w:numId w:val="9"/>
        </w:numPr>
      </w:pPr>
      <w:r>
        <w:t xml:space="preserve">Käsittelijä auttaa rekisterinpitäjää asianmukaisin teknisin ja organisatorisin toimenpitein vastaamaan rekisteröityjen pyyntöihin, jotka koskevat tietosuoja-asetuksen III luvun oikeuksia, kuten pääsyä tietoihin, oikaisua, poistamista, käsittelyn rajoittamista ja siirtoa järjestelmästä toiseen.</w:t>
      </w:r>
    </w:p>
    <w:p>
      <w:pPr>
        <w:pStyle w:val="ListParagraph"/>
        <w:numPr>
          <w:ilvl w:val="0"/>
          <w:numId w:val="9"/>
        </w:numPr>
      </w:pPr>
      <w:r>
        <w:t xml:space="preserve">Jos käsittelijä saa rekisteröidyltä pyynnön, se ohjaa pyynnön rekisterinpitäjälle viipymättä, viimeistään </w:t>
      </w:r>
      <w:r>
        <w:rPr>
          <w:highlight w:val="yellow"/>
          <w:highlightCs w:val="yellow"/>
        </w:rPr>
        <w:t xml:space="preserve">[3]</w:t>
      </w:r>
      <w:r>
        <w:t xml:space="preserve"> työpäivän kuluessa, eikä vastaa pyyntöön itse ilman rekisterinpitäjän ohjetta.</w:t>
      </w:r>
    </w:p>
    <w:p>
      <w:pPr>
        <w:pStyle w:val="ListParagraph"/>
        <w:numPr>
          <w:ilvl w:val="0"/>
          <w:numId w:val="9"/>
        </w:numPr>
      </w:pPr>
      <w:r>
        <w:t xml:space="preserve">Käsittelijä toimittaa pyydetyt tiedot tai tekee pyydetyt toimenpiteet niin, että rekisterinpitäjä ehtii vastata rekisteröidylle tietosuoja-asetuksen määräajoissa. </w:t>
      </w:r>
      <w:r>
        <w:rPr>
          <w:highlight w:val="yellow"/>
          <w:highlightCs w:val="yellow"/>
        </w:rPr>
        <w:t xml:space="preserve">[Avustaminen sisältyy palvelun hintaan / Avustamisesta veloitetaan pääsopimuksen mukaiset henkilötyön hinnat, ja käsittelijä ilmoittaa kustannuksista etukäteen.]</w:t>
      </w:r>
    </w:p>
    <w:p>
      <w:pPr>
        <w:pStyle w:val="Heading1"/>
      </w:pPr>
      <w:r>
        <w:t xml:space="preserve">9. Tietoturvaloukkaukset, vaikutustenarviointi ja ennakkokuuleminen (f alakohta)</w:t>
      </w:r>
    </w:p>
    <w:p>
      <w:pPr>
        <w:pStyle w:val="ListParagraph"/>
        <w:numPr>
          <w:ilvl w:val="0"/>
          <w:numId w:val="10"/>
        </w:numPr>
      </w:pPr>
      <w:r>
        <w:t xml:space="preserve">Käsittelijä ilmoittaa rekisterinpitäjälle kirjallisesti ilman aiheetonta viivytystä ja viimeistään </w:t>
      </w:r>
      <w:r>
        <w:rPr>
          <w:highlight w:val="yellow"/>
          <w:highlightCs w:val="yellow"/>
        </w:rPr>
        <w:t xml:space="preserve">[24]</w:t>
      </w:r>
      <w:r>
        <w:t xml:space="preserve"> tunnin kuluessa siitä, kun se tai sen alikäsittelijä on havainnut rekisterinpitäjän henkilötietoja koskevan tietoturvaloukkauksen. Ilmoitus tehdään kellonajasta ja sovitusta palveluajasta riippumatta osoitteeseen </w:t>
      </w:r>
      <w:r>
        <w:rPr>
          <w:highlight w:val="yellow"/>
          <w:highlightCs w:val="yellow"/>
        </w:rPr>
        <w:t xml:space="preserve">[sähköpostiosoite ja puhelinnumero]</w:t>
      </w:r>
      <w:r>
        <w:t xml:space="preserve">.</w:t>
      </w:r>
    </w:p>
    <w:p>
      <w:pPr>
        <w:pStyle w:val="ListParagraph"/>
        <w:numPr>
          <w:ilvl w:val="0"/>
          <w:numId w:val="10"/>
        </w:numPr>
      </w:pPr>
      <w:r>
        <w:t xml:space="preserve">Ilmoituksessa kerrotaan siltä osin kuin tiedot ovat saatavilla: loukkauksen kuvaus ja ajankohta, asianomaisten rekisteröityjen ryhmät ja arvioidut lukumäärät, henkilötietotyyppien ryhmät ja arvioidut lukumäärät, todennäköiset seuraukset, toteutetut ja ehdotetut toimenpiteet haittojen lieventämiseksi sekä yhteyshenkilö, jolta saa lisätietoja. Tietoja täydennetään vaiheittain ilman aiheetonta viivytystä.</w:t>
      </w:r>
    </w:p>
    <w:p>
      <w:pPr>
        <w:pStyle w:val="ListParagraph"/>
        <w:numPr>
          <w:ilvl w:val="0"/>
          <w:numId w:val="10"/>
        </w:numPr>
      </w:pPr>
      <w:r>
        <w:t xml:space="preserve">Käsittelijä ryhtyy viipymättä toimiin loukkauksen rajoittamiseksi ja korjaamiseksi ja säilyttää loukkauksen selvittämisen kannalta tarpeelliset tiedot ja lokit.</w:t>
      </w:r>
    </w:p>
    <w:p>
      <w:pPr>
        <w:pStyle w:val="ListParagraph"/>
        <w:numPr>
          <w:ilvl w:val="0"/>
          <w:numId w:val="10"/>
        </w:numPr>
      </w:pPr>
      <w:r>
        <w:t xml:space="preserve">Käsittelijä ei tiedota loukkauksesta rekisteröidyille tai valvontaviranomaiselle rekisterinpitäjän puolesta ilman rekisterinpitäjän ohjetta, ellei laki sitä edellytä.</w:t>
      </w:r>
    </w:p>
    <w:p>
      <w:pPr>
        <w:pStyle w:val="ListParagraph"/>
        <w:numPr>
          <w:ilvl w:val="0"/>
          <w:numId w:val="10"/>
        </w:numPr>
      </w:pPr>
      <w:r>
        <w:t xml:space="preserve">Käsittelijä avustaa rekisterinpitäjää pyynnöstä tietosuojaa koskevassa vaikutustenarvioinnissa ja valvontaviranomaisen ennakkokuulemisessa toimittamalla käsittelyä, turvatoimia, alikäsittelijöitä ja siirtoja koskevat tiedot.</w:t>
      </w:r>
    </w:p>
    <w:p>
      <w:pPr>
        <w:pStyle w:val="Heading1"/>
      </w:pPr>
      <w:r>
        <w:t xml:space="preserve">10. Siirrot EU:n ja ETA:n ulkopuolelle</w:t>
      </w:r>
    </w:p>
    <w:p>
      <w:pPr>
        <w:pStyle w:val="ListParagraph"/>
        <w:numPr>
          <w:ilvl w:val="0"/>
          <w:numId w:val="11"/>
        </w:numPr>
      </w:pPr>
      <w:r>
        <w:t xml:space="preserve">Käsittelijä ja sen alikäsittelijät käsittelevät henkilötietoja vain ETA-alueella, ellei liitteessä 4 toisin sovita. Käsittelyksi katsotaan myös pääsy henkilötietoihin kolmannesta maasta esimerkiksi tuki- tai ylläpitotehtävissä.</w:t>
      </w:r>
    </w:p>
    <w:p>
      <w:pPr>
        <w:pStyle w:val="ListParagraph"/>
        <w:numPr>
          <w:ilvl w:val="0"/>
          <w:numId w:val="11"/>
        </w:numPr>
      </w:pPr>
      <w:r>
        <w:t xml:space="preserve">Siirto kolmanteen maahan on sallittu vain, jos se on hyväksytty liitteessä 4 tai rekisterinpitäjän erillisellä kirjallisella ohjeella ja sille on tietosuoja-asetuksen V luvun mukainen siirtoperuste, kuten komission riittävyyspäätös tai komission vakiolausekkeet (täytäntöönpanopäätös (EU) 2021/914).</w:t>
      </w:r>
    </w:p>
    <w:p>
      <w:pPr>
        <w:pStyle w:val="ListParagraph"/>
        <w:numPr>
          <w:ilvl w:val="0"/>
          <w:numId w:val="11"/>
        </w:numPr>
      </w:pPr>
      <w:r>
        <w:t xml:space="preserve">Jos siirto perustuu muuhun kuin riittävyyspäätökseen, käsittelijä toimittaa ennen siirtoa rekisterinpitäjälle siirtovaikutusten arvioinnin (TIA) sekä kuvauksen mahdollisista lisäsuojatoimista ja päivittää arvioinnin olennaisten muutosten yhteydessä.</w:t>
      </w:r>
    </w:p>
    <w:p>
      <w:pPr>
        <w:pStyle w:val="ListParagraph"/>
        <w:numPr>
          <w:ilvl w:val="0"/>
          <w:numId w:val="11"/>
        </w:numPr>
      </w:pPr>
      <w:r>
        <w:t xml:space="preserve">Jos siirtoperuste lakkaa olemasta voimassa tai ei enää takaa riittävää suojaa, käsittelijä ilmoittaa tästä viipymättä ja siirtyy sopijapuolten sopimaan varasiirtoperusteeseen tai lopettaa siirron.</w:t>
      </w:r>
    </w:p>
    <w:p>
      <w:pPr>
        <w:pStyle w:val="Heading1"/>
      </w:pPr>
      <w:r>
        <w:t xml:space="preserve">11. Viranomaisten tietopyynnöt</w:t>
      </w:r>
    </w:p>
    <w:p>
      <w:pPr>
        <w:pStyle w:val="ListParagraph"/>
        <w:numPr>
          <w:ilvl w:val="0"/>
          <w:numId w:val="12"/>
        </w:numPr>
      </w:pPr>
      <w:r>
        <w:t xml:space="preserve">Jos tuomioistuin tai viranomainen, myös kolmannen maan viranomainen, pyytää käsittelijältä pääsyä rekisterinpitäjän henkilötietoihin, käsittelijä ilmoittaa siitä rekisterinpitäjälle viipymättä, ellei laki kiellä ilmoittamista.</w:t>
      </w:r>
    </w:p>
    <w:p>
      <w:pPr>
        <w:pStyle w:val="ListParagraph"/>
        <w:numPr>
          <w:ilvl w:val="0"/>
          <w:numId w:val="12"/>
        </w:numPr>
      </w:pPr>
      <w:r>
        <w:t xml:space="preserve">Käsittelijä arvioi pyynnön lainmukaisuuden, käyttää käytettävissä olevia oikeussuojakeinoja ja luovuttaa vain sen vähimmän tietomäärän, jonka luovuttamiseen se on oikeudellisesti velvollinen. Käsittelijä kirjaa pyynnöt ja toimittaa rekisterinpitäjälle niistä yhteenvedon pyynnöstä, siltä osin kuin laki sen sallii.</w:t>
      </w:r>
    </w:p>
    <w:p>
      <w:pPr>
        <w:pStyle w:val="Heading1"/>
      </w:pPr>
      <w:r>
        <w:t xml:space="preserve">12. Tiedonsaanti ja auditoinnit (h alakohta)</w:t>
      </w:r>
    </w:p>
    <w:p>
      <w:pPr>
        <w:pStyle w:val="ListParagraph"/>
        <w:numPr>
          <w:ilvl w:val="0"/>
          <w:numId w:val="13"/>
        </w:numPr>
      </w:pPr>
      <w:r>
        <w:t xml:space="preserve">Käsittelijä antaa rekisterinpitäjän saataville kaikki tiedot, jotka ovat tarpeen tämän sopimuksen ja tietosuoja-asetuksen 28 artiklan velvoitteiden noudattamisen osoittamiseksi, kuten kuvaukset turvatoimista, voimassa olevat sertifikaatit ja riippumattomien tarkastusten raportit.</w:t>
      </w:r>
    </w:p>
    <w:p>
      <w:pPr>
        <w:pStyle w:val="ListParagraph"/>
        <w:numPr>
          <w:ilvl w:val="0"/>
          <w:numId w:val="13"/>
        </w:numPr>
      </w:pPr>
      <w:r>
        <w:t xml:space="preserve">Rekisterinpitäjällä on oikeus tehdä tai teettää valitsemallaan riippumattomalla, salassapitoon sitoutuneella auditoijalla auditointeja ja tarkastuksia, myös käsittelijän tiloissa. Käsittelijä osallistuu niihin ja varmistaa vastaavan oikeuden alikäsittelijöidensä osalta.</w:t>
      </w:r>
    </w:p>
    <w:p>
      <w:pPr>
        <w:pStyle w:val="ListParagraph"/>
        <w:numPr>
          <w:ilvl w:val="0"/>
          <w:numId w:val="13"/>
        </w:numPr>
      </w:pPr>
      <w:r>
        <w:t xml:space="preserve">Auditoinnista ilmoitetaan vähintään </w:t>
      </w:r>
      <w:r>
        <w:rPr>
          <w:highlight w:val="yellow"/>
          <w:highlightCs w:val="yellow"/>
        </w:rPr>
        <w:t xml:space="preserve">[30]</w:t>
      </w:r>
      <w:r>
        <w:t xml:space="preserve"> päivää etukäteen, paitsi jos tarkastus johtuu tietoturvaloukkauksesta tai valvontaviranomaisen vaatimuksesta.</w:t>
      </w:r>
    </w:p>
    <w:p>
      <w:pPr>
        <w:pStyle w:val="ListParagraph"/>
        <w:numPr>
          <w:ilvl w:val="0"/>
          <w:numId w:val="13"/>
        </w:numPr>
      </w:pPr>
      <w:r>
        <w:t xml:space="preserve">Kumpikin sopijapuoli vastaa omista auditointikustannuksistaan. Jos auditoinnissa havaitaan olennainen poikkeama tästä sopimuksesta, käsittelijä vastaa auditoinnin kohtuullisista kustannuksista ja korjaa poikkeaman sovitussa aikataulussa.</w:t>
      </w:r>
    </w:p>
    <w:p>
      <w:pPr>
        <w:pStyle w:val="ListParagraph"/>
        <w:numPr>
          <w:ilvl w:val="0"/>
          <w:numId w:val="13"/>
        </w:numPr>
      </w:pPr>
      <w:r>
        <w:t xml:space="preserve">Käsittelijä antaa pyynnöstä rekisterinpitäjälle käsittelytoimia koskevan selosteensa niiltä osin kuin se koskee rekisterinpitäjän lukuun suoritettua käsittelyä.</w:t>
      </w:r>
    </w:p>
    <w:p>
      <w:pPr>
        <w:pStyle w:val="Heading1"/>
      </w:pPr>
      <w:r>
        <w:t xml:space="preserve">13. Käsittelyn päättyminen: palautus ja poisto (g alakohta)</w:t>
      </w:r>
    </w:p>
    <w:p>
      <w:pPr>
        <w:pStyle w:val="ListParagraph"/>
        <w:numPr>
          <w:ilvl w:val="0"/>
          <w:numId w:val="14"/>
        </w:numPr>
      </w:pPr>
      <w:r>
        <w:t xml:space="preserve">Sopimuksen voimassa ollessa käsittelijä ei poista rekisterinpitäjän henkilötietoja ilman rekisterinpitäjän ohjetta, lukuun ottamatta palvelun tavanomaista toimintaa, josta on sovittu liitteessä 1.</w:t>
      </w:r>
    </w:p>
    <w:p>
      <w:pPr>
        <w:pStyle w:val="ListParagraph"/>
        <w:numPr>
          <w:ilvl w:val="0"/>
          <w:numId w:val="14"/>
        </w:numPr>
      </w:pPr>
      <w:r>
        <w:t xml:space="preserve">Palvelun päättyessä käsittelijä rekisterinpitäjän valinnan mukaan </w:t>
      </w:r>
      <w:r>
        <w:rPr>
          <w:highlight w:val="yellow"/>
          <w:highlightCs w:val="yellow"/>
        </w:rPr>
        <w:t xml:space="preserve">[palauttaa kaikki henkilötiedot rekisterinpitäjälle yleisesti käytössä olevassa tiedostomuodossa ja poistaa ne sen jälkeen / poistaa kaikki henkilötiedot]</w:t>
      </w:r>
      <w:r>
        <w:t xml:space="preserve"> sekä poistaa niiden jäljennökset </w:t>
      </w:r>
      <w:r>
        <w:rPr>
          <w:highlight w:val="yellow"/>
          <w:highlightCs w:val="yellow"/>
        </w:rPr>
        <w:t xml:space="preserve">[30]</w:t>
      </w:r>
      <w:r>
        <w:t xml:space="preserve"> päivän kuluessa. Rekisterinpitäjä voi muuttaa valintaansa ilmoittamalla siitä kirjallisesti ennen palvelun päättymistä.</w:t>
      </w:r>
    </w:p>
    <w:p>
      <w:pPr>
        <w:pStyle w:val="ListParagraph"/>
        <w:numPr>
          <w:ilvl w:val="0"/>
          <w:numId w:val="14"/>
        </w:numPr>
      </w:pPr>
      <w:r>
        <w:t xml:space="preserve">Varmuuskopioissa olevat henkilötiedot poistetaan varmuuskopioiden normaalin kierron mukaisesti, viimeistään </w:t>
      </w:r>
      <w:r>
        <w:rPr>
          <w:highlight w:val="yellow"/>
          <w:highlightCs w:val="yellow"/>
        </w:rPr>
        <w:t xml:space="preserve">[90]</w:t>
      </w:r>
      <w:r>
        <w:t xml:space="preserve"> päivän kuluessa. Siihen asti tiedot on suojattava, eikä niitä saa käyttää mihinkään muuhun tarkoitukseen.</w:t>
      </w:r>
    </w:p>
    <w:p>
      <w:pPr>
        <w:pStyle w:val="ListParagraph"/>
        <w:numPr>
          <w:ilvl w:val="0"/>
          <w:numId w:val="14"/>
        </w:numPr>
      </w:pPr>
      <w:r>
        <w:t xml:space="preserve">Käsittelijä vahvistaa poiston kirjallisesti ja huolehtii siitä, että alikäsittelijät poistavat tiedot vastaavasti.</w:t>
      </w:r>
    </w:p>
    <w:p>
      <w:pPr>
        <w:pStyle w:val="ListParagraph"/>
        <w:numPr>
          <w:ilvl w:val="0"/>
          <w:numId w:val="14"/>
        </w:numPr>
      </w:pPr>
      <w:r>
        <w:t xml:space="preserve">Henkilötietoja ei poisteta siltä osin kuin unionin tai Suomen lainsäädäntö velvoittaa käsittelijän säilyttämään ne. Tällöin käsittelijä ilmoittaa säilytysvelvoitteesta rekisterinpitäjälle ja käsittelee tietoja vain kyseisen velvoitteen edellyttämässä laajuudessa.</w:t>
      </w:r>
    </w:p>
    <w:p>
      <w:pPr>
        <w:pStyle w:val="ListParagraph"/>
        <w:numPr>
          <w:ilvl w:val="0"/>
          <w:numId w:val="14"/>
        </w:numPr>
      </w:pPr>
      <w:r>
        <w:t xml:space="preserve">Palautuksesta ja poistosta ei veloiteta erikseen, ellei pääsopimuksessa ole toisin sovittu.</w:t>
      </w:r>
    </w:p>
    <w:p>
      <w:pPr>
        <w:pStyle w:val="Heading1"/>
      </w:pPr>
      <w:r>
        <w:t xml:space="preserve">14. Vastuu</w:t>
      </w:r>
    </w:p>
    <w:p>
      <w:pPr>
        <w:spacing w:after="120"/>
      </w:pPr>
      <w:r>
        <w:t xml:space="preserve">Vahingonkorvausvastuusta ja vastuunrajoituksista sovelletaan pääsopimusta, kuitenkin niin, että tietosuoja-asetuksen 82 artiklan mukainen vastuu rekisteröityjä kohtaan säilyy. </w:t>
      </w:r>
      <w:r>
        <w:rPr>
          <w:highlight w:val="yellow"/>
          <w:highlightCs w:val="yellow"/>
        </w:rPr>
        <w:t xml:space="preserve">[Tarkistakaa, kattavatko pääsopimuksen vastuunrajoitukset tietosuojaloukkaukset ja valvontaviranomaisen määräämät seuraamukset, ja täsmentäkää tarvittaessa.]</w:t>
      </w:r>
    </w:p>
    <w:p>
      <w:pPr>
        <w:pStyle w:val="Heading1"/>
      </w:pPr>
      <w:r>
        <w:t xml:space="preserve">15. Voimassaolo ja muutokset</w:t>
      </w:r>
    </w:p>
    <w:p>
      <w:pPr>
        <w:pStyle w:val="ListParagraph"/>
        <w:numPr>
          <w:ilvl w:val="0"/>
          <w:numId w:val="15"/>
        </w:numPr>
      </w:pPr>
      <w:r>
        <w:t xml:space="preserve">Sopimus tulee voimaan, kun molemmat sopijapuolet ovat allekirjoittaneet sen, ja on voimassa niin kauan kuin käsittelijä tai sen alikäsittelijät käsittelevät rekisterinpitäjän henkilötietoja.</w:t>
      </w:r>
    </w:p>
    <w:p>
      <w:pPr>
        <w:pStyle w:val="ListParagraph"/>
        <w:numPr>
          <w:ilvl w:val="0"/>
          <w:numId w:val="15"/>
        </w:numPr>
      </w:pPr>
      <w:r>
        <w:t xml:space="preserve">Sopimusta voidaan muuttaa vain sopijapuolten kirjallisella sopimuksella. Käsittelijän yleisten ehtojen tai verkkosivuilla julkaistujen ehtojen muutokset eivät muuta tätä sopimusta.</w:t>
      </w:r>
    </w:p>
    <w:p>
      <w:pPr>
        <w:pStyle w:val="ListParagraph"/>
        <w:numPr>
          <w:ilvl w:val="0"/>
          <w:numId w:val="15"/>
        </w:numPr>
      </w:pPr>
      <w:r>
        <w:t xml:space="preserve">Jos tietosuojalainsäädäntö tai valvontaviranomaisen ohjeistus muuttuu niin, että sopimusta on tarpeen päivittää, sopijapuolet neuvottelevat muutoksista vilpittömässä mielessä.</w:t>
      </w:r>
    </w:p>
    <w:p>
      <w:pPr>
        <w:pStyle w:val="ListParagraph"/>
        <w:numPr>
          <w:ilvl w:val="0"/>
          <w:numId w:val="15"/>
        </w:numPr>
      </w:pPr>
      <w:r>
        <w:t xml:space="preserve">Kohdat 5, 13 ja 14 sekä muut kohdat, joiden on luonteensa vuoksi tarkoitus jäädä voimaan, ovat voimassa sopimuksen päättymisen jälkeenkin.</w:t>
      </w:r>
    </w:p>
    <w:p>
      <w:pPr>
        <w:pStyle w:val="Heading1"/>
      </w:pPr>
      <w:r>
        <w:t xml:space="preserve">16. Sovellettava laki ja riidat</w:t>
      </w:r>
    </w:p>
    <w:p>
      <w:pPr>
        <w:spacing w:after="120"/>
      </w:pPr>
      <w:r>
        <w:t xml:space="preserve">Sopimukseen sovelletaan Suomen lakia. Riidat ratkaistaan pääsopimuksen mukaisesti, tai jos siinä ei ole asiasta määräystä, </w:t>
      </w:r>
      <w:r>
        <w:rPr>
          <w:highlight w:val="yellow"/>
          <w:highlightCs w:val="yellow"/>
        </w:rPr>
        <w:t xml:space="preserve">[rekisterinpitäjän kotipaikan]</w:t>
      </w:r>
      <w:r>
        <w:t xml:space="preserve"> käräjäoikeudessa.</w:t>
      </w:r>
    </w:p>
    <w:p>
      <w:pPr>
        <w:pStyle w:val="Heading1"/>
      </w:pPr>
      <w:r>
        <w:t xml:space="preserve">Allekirjoitukset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3430"/>
        <w:gridCol w:w="3430"/>
      </w:tblGrid>
      <w:tr>
        <w:trPr>
          <w:tblHeader/>
        </w:trPr>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Rekisterinpitäjä</w:t>
            </w: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Henkilötietojen käsittelijä</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Paikka ja päiväys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[Paikka, pp.kk.vvvv]</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[Paikka, pp.kk.vvvv]</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Allekirjoitus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p/>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p/>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Nimenselvennys ja asema</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asema]</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asema]</w:t>
            </w:r>
          </w:p>
        </w:tc>
      </w:tr>
    </w:tbl>
    <w:p/>
    <w:p>
      <w:pPr>
        <w:spacing w:after="120"/>
      </w:pPr>
      <w:r>
        <w:t xml:space="preserve">Sopimus voidaan allekirjoittaa sähköisesti. Tietosuoja-asetuksen 28 artiklan 9 kohdan mukaan sähköinen muoto täyttää kirjallisen muodon vaatimuksen.</w:t>
      </w:r>
    </w:p>
    <w:p>
      <w:pPr>
        <w:pStyle w:val="Heading1"/>
      </w:pPr>
      <w:r>
        <w:t xml:space="preserve">Liite 1. Käsittelyn kuvaus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Kohta</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Kuvaus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Palvelu ja käsittelyn kohde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kyselyalusta tutkimusaineiston keruuseen ja säilytykseen]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Käsittelyn tarkoitus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tutkimuskyselyjen toteuttaminen, vastausten tallentaminen ja raportointi korkeakoululle]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Käsittelyn luonne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tallennus, säilytys, varmuuskopiointi, tekninen tuki, poistaminen]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Rekisteröityjen ryhmät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tutkittavat, opiskelijat, henkilökunta, palvelun pääkäyttäjät]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Henkilötietojen tyypit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nimi, sähköpostiosoite, vastaukset, IP-osoite, lokitiedot]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Erityiset henkilötietoryhmät tai rikostiedot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[Ei käsitellä / Käsitellään: mitkä ja millä perusteella]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Käsittelyn kesto</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[Pääsopimuksen voimassaoloaika ja kohdan 13 mukainen palautus- ja poistoaika]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Säilytysajat palvelun aikana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lokit 12 kuukautta, varmuuskopiot 30 päivää]</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Käsittelypaikat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[Konesalien ja tukitoimintojen maat]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Rekisterinpitäjän lisäohjeet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vastaajien IP-osoitteita ei tallenneta]</w:t>
            </w:r>
          </w:p>
        </w:tc>
      </w:tr>
    </w:tbl>
    <w:p/>
    <w:p>
      <w:pPr>
        <w:pStyle w:val="Heading1"/>
      </w:pPr>
      <w:r>
        <w:t xml:space="preserve">Liite 2. Tekniset ja organisatoriset turvatoimet</w:t>
      </w:r>
    </w:p>
    <w:p>
      <w:pPr>
        <w:pBdr>
          <w:left w:val="single" w:color="F59E0B" w:sz="18" w:space="8"/>
        </w:pBdr>
        <w:shd w:fill="FFFBEB" w:color="auto" w:val="clear"/>
        <w:spacing w:after="160" w:before="120"/>
      </w:pPr>
      <w:r>
        <w:rPr>
          <w:i/>
          <w:iCs/>
        </w:rPr>
        <w:t xml:space="preserve">Kuvatkaa toimet niin tarkasti, että korkeakoulun tietoturva voi arvioida niiden riittävyyden. Pelkkä viittaus sertifikaattiin ei riitä, mutta sertifikaatin voi mainita tukena.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Osa-alue</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Toimittajan kuvaus toimenpiteistä</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Hallinnointi ja vastuut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[Tietoturvapolitiikka, vastuuhenkilöt, riskienhallinta]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Pääsynhallinta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[Käyttöoikeuksien myöntäminen ja poisto, vahva tunnistautuminen, ylläpitäjätunnukset, kertakirjautuminen]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Salaus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[Salaus siirron aikana ja levyllä, avainten hallinta]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Lokit ja valvonta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[Mitä lokitetaan, kuinka kauan säilytetään, kuka seuraa]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Erottelu</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[Asiakkaiden tietojen looginen erottelu]</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Varmuuskopiot ja jatkuvuus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[Varmuuskopioinnin tiheys ja sijainti, palautusajat, testaus]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Haavoittuvuuksien hallinta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[Päivitykset, haavoittuvuusskannaukset, murtotestaus]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Fyysinen turvallisuus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[Konesalien kulunvalvonta]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Henkilöstö</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[Taustatarkistukset lain sallimissa rajoissa, koulutus, salassapitositoumukset]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Häiriöiden ja loukkausten hallinta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[Prosessi, päivystys, ilmoitusketju rekisterinpitäjälle]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Sertifikaatit ja tarkastukset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ISO/IEC 27001 -sertifikaatti, sen laajuus ja voimassaolo]</w:t>
            </w:r>
          </w:p>
        </w:tc>
      </w:tr>
    </w:tbl>
    <w:p/>
    <w:p>
      <w:pPr>
        <w:pStyle w:val="Heading1"/>
      </w:pPr>
      <w:r>
        <w:t xml:space="preserve">Liite 3. Hyväksytyt alikäsittelijät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805"/>
        <w:gridCol w:w="1805"/>
        <w:gridCol w:w="1625"/>
        <w:gridCol w:w="1805"/>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Alikäsittelijä ja yritystunnus</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Tehtävä</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Käsiteltävät tiedot</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Käsittelypaikka</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Siirtoperuste (jos ETA:n ulkopuolella)</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konesalipalvelu]</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[Kaikki palvelun tiedot]</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[Maa]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[Ei siirtoa / riittävyyspäätös / vakiolausekkeet]</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asiakastuki]</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[Pääkäyttäjien yhteystiedot]</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[Maa]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Liite 4. Siirrot EU:n ja ETA:n ulkopuolelle</w:t>
      </w:r>
    </w:p>
    <w:p>
      <w:pPr>
        <w:spacing w:after="120"/>
      </w:pPr>
      <w:r>
        <w:rPr>
          <w:highlight w:val="yellow"/>
          <w:highlightCs w:val="yellow"/>
        </w:rPr>
        <w:t xml:space="preserve">[Valitkaa jompikumpi:]</w:t>
      </w:r>
      <w:r>
        <w:t xml:space="preserve"> </w:t>
      </w:r>
      <w:r>
        <w:rPr>
          <w:b/>
          <w:bCs/>
        </w:rPr>
        <w:t xml:space="preserve">Henkilötietoja ei siirretä eikä niihin päästä ETA-alueen ulkopuolelta.</w:t>
      </w:r>
      <w:r>
        <w:t xml:space="preserve"> / </w:t>
      </w:r>
      <w:r>
        <w:rPr>
          <w:b/>
          <w:bCs/>
        </w:rPr>
        <w:t xml:space="preserve">Seuraavat siirrot on hyväksytty: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264"/>
        <w:gridCol w:w="1986"/>
        <w:gridCol w:w="1805"/>
        <w:gridCol w:w="2166"/>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Vastaanottaja</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Kolmas maa</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Siirron syy ja tiedot</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Siirtoperuste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Siirtovaikutusten arviointi ja lisäsuojatoimet</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[Maa]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ympärivuorokautinen tuki, pääsy lokitietoihin]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[Riittävyyspäätös / komission vakiolausekkeet 2021/914, moduuli 2 tai 3 / muu]</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[Päiväys ja viittaus arviointiin; esim. salaus, jonka avaimet ovat ETA:ssa]</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[Maa]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Varasiirtoperuste, jos ensisijainen siirtoperuste lakkaa olemasta voimassa: </w:t>
      </w:r>
      <w:r>
        <w:rPr>
          <w:highlight w:val="yellow"/>
          <w:highlightCs w:val="yellow"/>
        </w:rPr>
        <w:t xml:space="preserve">[esim. komission vakiolausekkeet 2021/914 allekirjoitetaan siirron osapuolten välillä]</w:t>
      </w:r>
      <w: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Mallipohja: validemic.com. Ei oikeudellista neuvontaa. Tarkistuttakaa malli omassa organisaatiossanne ennen käyttöä.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abstractNum w:abstractNumId="1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Henkilötietojen käsittelysopimus</dc:title>
  <dc:creator>Validemic</dc:creator>
  <cp:lastModifiedBy>Un-named</cp:lastModifiedBy>
  <cp:revision>1</cp:revision>
  <dcterms:created xsi:type="dcterms:W3CDTF">2026-10-07T02:31:32.759Z</dcterms:created>
  <dcterms:modified xsi:type="dcterms:W3CDTF">2026-10-07T02:31:32.759Z</dcterms:modified>
</cp:coreProperties>
</file>

<file path=docProps/custom.xml><?xml version="1.0" encoding="utf-8"?>
<Properties xmlns="http://schemas.openxmlformats.org/officeDocument/2006/custom-properties" xmlns:vt="http://schemas.openxmlformats.org/officeDocument/2006/docPropsVTypes"/>
</file>