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Konsekvensbedömning avseende dataskydd</w:t>
      </w:r>
    </w:p>
    <w:p>
      <w:pPr>
        <w:spacing w:after="240"/>
      </w:pPr>
      <w:r>
        <w:rPr>
          <w:color w:val="64748B"/>
        </w:rPr>
        <w:t xml:space="preserve">Mall enligt artikel 35 i dataskyddsförordningen, strukturerad efter IMY:s tio steg. Version från validemic.com, oktober 2026.</w:t>
      </w:r>
    </w:p>
    <w:p>
      <w:pPr>
        <w:pBdr>
          <w:left w:val="single" w:color="F59E0B" w:sz="18" w:space="8"/>
        </w:pBdr>
        <w:shd w:fill="FFFBEB" w:color="auto" w:val="clear"/>
        <w:spacing w:after="160" w:before="120"/>
      </w:pPr>
      <w:r>
        <w:rPr>
          <w:i/>
          <w:iCs/>
        </w:rPr>
        <w:t xml:space="preserve">Så använder ni mallen: fyll i allt som står inom </w:t>
      </w:r>
      <w:r>
        <w:rPr>
          <w:i/>
          <w:iCs/>
          <w:highlight w:val="yellow"/>
          <w:highlightCs w:val="yellow"/>
        </w:rPr>
        <w:t xml:space="preserve">[hakparenteser]</w:t>
      </w:r>
      <w:r>
        <w:rPr>
          <w:i/>
          <w:iCs/>
        </w:rPr>
        <w:t xml:space="preserve">. Avsnitt 1 kan användas fristående för att dokumentera att en konsekvensbedömning inte behövs. Bedömningen ska göras innan behandlingen påbörjas, och dataskyddsombudet ska rådfrågas (artikel 35.2). Mallen är inte juridisk rådgivning. Jämför gärna med IMY:s egen mall och vägledning. Ta bort den här rutan när dokumentet är ifyllt.</w:t>
      </w:r>
    </w:p>
    <w:p>
      <w:pPr>
        <w:pStyle w:val="Heading1"/>
      </w:pPr>
      <w:r>
        <w:t xml:space="preserve">Grunduppgifter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Uppgift</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Ifylls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Behandlingens namn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Automatisk transkribering av forskningsintervjuer]</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Personuppgiftsansvarig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[Lärosätets namn]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Ansvarig verksamhet och ägare av bedömningen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[Institution eller avdelning, namn och befattning]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Dataskyddsombud</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[Namn eller funktion]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Arbetsgrupp</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[Namn och roller, till exempel systemägare, IT-säkerhet, forskare, upphandlare]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Diarienummer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Version och datum</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[1.0, ÅÅÅÅ-MM-DD]</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Datum för nästa översyn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[ÅÅÅÅ-MM-DD]</w:t>
            </w:r>
          </w:p>
        </w:tc>
      </w:tr>
    </w:tbl>
    <w:p/>
    <w:p>
      <w:pPr>
        <w:pStyle w:val="Heading1"/>
      </w:pPr>
      <w:r>
        <w:t xml:space="preserve">1. Bedömning av behovet av konsekvensbedömning</w:t>
      </w:r>
    </w:p>
    <w:p>
      <w:pPr>
        <w:pStyle w:val="Heading3"/>
      </w:pPr>
      <w:r>
        <w:t xml:space="preserve">1.1 Artikel 35.3</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1264"/>
        <w:gridCol w:w="3249"/>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Fall</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Uppfyllt?</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Motivering</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Systematisk och omfattande bedömning av personliga aspekter genom automatisk behandling, som ligger till grund för beslut med rättsliga eller liknande betydande följder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 Behandling i stor omfattning av särskilda kategorier av uppgifter (art. 9) eller uppgifter om lagöverträdelser (art. 10)</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 Systematisk övervakning av en allmän plats i stor omfattning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1.2 IMY:s förteckning enligt artikel 35.4</w:t>
      </w:r>
    </w:p>
    <w:p>
      <w:pPr>
        <w:spacing w:after="120"/>
      </w:pPr>
      <w:r>
        <w:t xml:space="preserve">Som huvudregel ska en konsekvensbedömning göras om behandlingen uppfyller minst två av kriterierna.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1264"/>
        <w:gridCol w:w="3249"/>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Kriterium</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Uppfyllt?</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Motivering</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 Utvärderar eller poängsätter människor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2. Automatiserade beslut med rättsliga eller liknande betydande följder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3. Systematisk övervakning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4. Känsliga personuppgifter eller uppgifter av mycket personlig karaktär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5. Personuppgifter i stor omfattning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6. Kombinerar personuppgifter på sätt som de registrerade inte rimligen kunnat förvänta sig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7. Personer i underläge eller beroendeställning (till exempel barn, anställda, patienter)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8. Ny teknik eller nya organisatoriska lösningar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9. Hindrar registrerade från att utöva en rättighet, få tillgång till en tjänst eller ingå ett avtal</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3"/>
      </w:pPr>
      <w:r>
        <w:t xml:space="preserve">1.3 Slutsats</w:t>
      </w:r>
    </w:p>
    <w:p>
      <w:pPr>
        <w:spacing w:after="120"/>
      </w:pPr>
      <w:r>
        <w:rPr>
          <w:highlight w:val="yellow"/>
          <w:highlightCs w:val="yellow"/>
        </w:rPr>
        <w:t xml:space="preserve">[Konsekvensbedömning krävs / krävs inte.]</w:t>
      </w:r>
      <w:r>
        <w:t xml:space="preserve"> Motivering: </w:t>
      </w:r>
      <w:r>
        <w:rPr>
          <w:highlight w:val="yellow"/>
          <w:highlightCs w:val="yellow"/>
        </w:rPr>
        <w:t xml:space="preserve">[ ]</w:t>
      </w:r>
    </w:p>
    <w:p>
      <w:pPr>
        <w:spacing w:after="120"/>
      </w:pPr>
      <w:r>
        <w:t xml:space="preserve">Om två eller fler kriterier är uppfyllda men ni bedömer att behandlingen inte medför hög risk, motivera varför och redovisa dataskyddsombudets synpunkter: </w:t>
      </w:r>
      <w:r>
        <w:rPr>
          <w:highlight w:val="yellow"/>
          <w:highlightCs w:val="yellow"/>
        </w:rPr>
        <w:t xml:space="preserve">[ ]</w:t>
      </w:r>
    </w:p>
    <w:p>
      <w:pPr>
        <w:pStyle w:val="Heading1"/>
      </w:pPr>
      <w:r>
        <w:t xml:space="preserve">2. Arbetsgrupp och planering</w:t>
      </w:r>
    </w:p>
    <w:p>
      <w:pPr>
        <w:pStyle w:val="ListParagraph"/>
        <w:numPr>
          <w:ilvl w:val="0"/>
          <w:numId w:val="2"/>
        </w:numPr>
      </w:pPr>
      <w:r>
        <w:t xml:space="preserve">Deltagare och roller: </w:t>
      </w:r>
      <w:r>
        <w:rPr>
          <w:highlight w:val="yellow"/>
          <w:highlightCs w:val="yellow"/>
        </w:rPr>
        <w:t xml:space="preserve">[ ]</w:t>
      </w:r>
    </w:p>
    <w:p>
      <w:pPr>
        <w:pStyle w:val="ListParagraph"/>
        <w:numPr>
          <w:ilvl w:val="0"/>
          <w:numId w:val="2"/>
        </w:numPr>
      </w:pPr>
      <w:r>
        <w:t xml:space="preserve">Tidplan, inklusive eventuellt förhandssamråd med IMY (IMY:s frist är åtta veckor och kan förlängas med sex veckor): </w:t>
      </w:r>
      <w:r>
        <w:rPr>
          <w:highlight w:val="yellow"/>
          <w:highlightCs w:val="yellow"/>
        </w:rPr>
        <w:t xml:space="preserve">[ ]</w:t>
      </w:r>
    </w:p>
    <w:p>
      <w:pPr>
        <w:pStyle w:val="ListParagraph"/>
        <w:numPr>
          <w:ilvl w:val="0"/>
          <w:numId w:val="2"/>
        </w:numPr>
      </w:pPr>
      <w:r>
        <w:t xml:space="preserve">Underlag som ska samlas in, till exempel leverantörens PUB-avtal, säkerhetsdokumentation och förteckning över underbiträden: </w:t>
      </w:r>
      <w:r>
        <w:rPr>
          <w:highlight w:val="yellow"/>
          <w:highlightCs w:val="yellow"/>
        </w:rPr>
        <w:t xml:space="preserve">[ ]</w:t>
      </w:r>
    </w:p>
    <w:p>
      <w:pPr>
        <w:pStyle w:val="Heading1"/>
      </w:pPr>
      <w:r>
        <w:t xml:space="preserve">3. Systematisk beskrivning av behandlingen (art. 35.7 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Uppgift</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Beskrivning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Ändamål</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Bakgrund och sammanhang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[Varför behandlingen behövs, vilken verksamhet den stöder]</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Kategorier av registrerade och ungefärligt antal</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Kategorier av personuppgifter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Särskilda kategorier, lagöverträdelser, personnummer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Källor till uppgifterna</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Informationsflöde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[Beskriv eller bifoga en skiss: insamling, lagring, åtkomst, utlämnande, radering]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System och leverantörer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[System, personuppgiftsbiträden och underbiträden]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Mottagare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[Interna och externa mottagare]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Plats för behandling och eventuella tredjelandsöverföringar</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Lagringstid och gallring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Teknik som används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[Till exempel AI-modell, molntjänst, kamerasystem]</w:t>
            </w:r>
          </w:p>
        </w:tc>
      </w:tr>
    </w:tbl>
    <w:p/>
    <w:p>
      <w:pPr>
        <w:pStyle w:val="Heading1"/>
      </w:pPr>
      <w:r>
        <w:t xml:space="preserve">4. Rättslig analys, nödvändighet och proportionalitet (art. 35.7 b)</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tblHeader/>
        </w:trPr>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Fråga</w:t>
            </w:r>
          </w:p>
        </w:tc>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Bedömning</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Rättslig grund enligt art. 6 (och undantag enligt art. 9 eller 10 om tillämpligt)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Är behandlingen nödvändig för ändamålet? Finns mindre integritetskänsliga alternativ?</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Uppgiftsminimering: behandlas endast de uppgifter som behövs?</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Lagringsminimering</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Information till de registrerade (art. 13 och 14)</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Hur de registrerade kan utöva sina rättigheter</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PUB-avtal med samtliga biträden (art. 28)</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 diarienummer]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Tredjelandsöverföringar och överföringsgrund (kapitel V)</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Etikprövning eller annan särskild reglering (till exempel för forskning)</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Sekretess enligt offentlighets- och sekretesslagen</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5. Riskanalys (art. 35.7 c)</w:t>
      </w:r>
    </w:p>
    <w:p>
      <w:pPr>
        <w:spacing w:after="120"/>
      </w:pPr>
      <w:r>
        <w:t xml:space="preserve">Beskriv vad som kan hända de registrerade, inte bara lärosätet. Bedöm sannolikhet och allvarlighetsgrad på en fyrgradig skala (1 = låg, 4 = mycket hög). Exempel på risker: obehörig åtkomst, oavsiktlig radering, ändamålsglidning, felaktiga slutsatser om enskilda, diskriminering, bristande insyn, överföring till tredjeland, att enskilda avstår från att utöva sina rättigheter.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42"/>
        <w:gridCol w:w="3971"/>
        <w:gridCol w:w="1444"/>
        <w:gridCol w:w="1264"/>
        <w:gridCol w:w="1805"/>
      </w:tblGrid>
      <w:tr>
        <w:trPr>
          <w:tblHeader/>
        </w:trPr>
        <w:tc>
          <w:tcPr>
            <w:tcW w:type="dxa" w:w="54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Nr</w:t>
            </w:r>
          </w:p>
        </w:tc>
        <w:tc>
          <w:tcPr>
            <w:tcW w:type="dxa" w:w="3971"/>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Risk för de registrerade</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Sannolikhet (1–4)</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Allvar (1–4)</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Risknivå före åtgärder</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R1</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R2</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R3</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54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R4</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6. Åtgärder för att hantera riskerna (art. 35.7 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3610"/>
        <w:gridCol w:w="1625"/>
        <w:gridCol w:w="1264"/>
        <w:gridCol w:w="1625"/>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Risk</w:t>
            </w:r>
          </w:p>
        </w:tc>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Åtgärd</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Ansvarig</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Klart senast</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Kvarstående risknivå</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R1</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R2</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R3</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R4</w:t>
            </w:r>
          </w:p>
        </w:tc>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7. Förhandssamråd med IMY (art. 36)</w:t>
      </w:r>
    </w:p>
    <w:p>
      <w:pPr>
        <w:spacing w:after="120"/>
      </w:pPr>
      <w:r>
        <w:t xml:space="preserve">Kvarstår hög risk efter åtgärder? </w:t>
      </w:r>
      <w:r>
        <w:rPr>
          <w:highlight w:val="yellow"/>
          <w:highlightCs w:val="yellow"/>
        </w:rPr>
        <w:t xml:space="preserve">[Ja/Nej]</w:t>
      </w:r>
    </w:p>
    <w:p>
      <w:pPr>
        <w:spacing w:after="120"/>
      </w:pPr>
      <w:r>
        <w:t xml:space="preserve">Om ja: begär förhandssamråd hos IMY innan behandlingen påbörjas. Datum för begäran och IMY:s diarienummer: </w:t>
      </w:r>
      <w:r>
        <w:rPr>
          <w:highlight w:val="yellow"/>
          <w:highlightCs w:val="yellow"/>
        </w:rPr>
        <w:t xml:space="preserve">[ ]</w:t>
      </w:r>
    </w:p>
    <w:p>
      <w:pPr>
        <w:pStyle w:val="Heading1"/>
      </w:pPr>
      <w:r>
        <w:t xml:space="preserve">8. Synpunkter</w:t>
      </w:r>
    </w:p>
    <w:p>
      <w:pPr>
        <w:pStyle w:val="Heading3"/>
      </w:pPr>
      <w:r>
        <w:t xml:space="preserve">8.1 Dataskyddsombudets råd (art. 35.2)</w:t>
      </w:r>
    </w:p>
    <w:p>
      <w:pPr>
        <w:spacing w:after="120"/>
      </w:pPr>
      <w:r>
        <w:rPr>
          <w:highlight w:val="yellow"/>
          <w:highlightCs w:val="yellow"/>
        </w:rPr>
        <w:t xml:space="preserve">[Datum och sammanfattning av dataskyddsombudets synpunkter. Ange hur de har beaktats, eller varför de inte har följts.]</w:t>
      </w:r>
    </w:p>
    <w:p>
      <w:pPr>
        <w:pStyle w:val="Heading3"/>
      </w:pPr>
      <w:r>
        <w:t xml:space="preserve">8.2 Synpunkter från registrerade eller deras företrädare (art. 35.9)</w:t>
      </w:r>
    </w:p>
    <w:p>
      <w:pPr>
        <w:spacing w:after="120"/>
      </w:pPr>
      <w:r>
        <w:rPr>
          <w:highlight w:val="yellow"/>
          <w:highlightCs w:val="yellow"/>
        </w:rPr>
        <w:t xml:space="preserve">[Till exempel studentkår, personalorganisation, referensgrupp. Om inga synpunkter har inhämtats: motivera.]</w:t>
      </w:r>
    </w:p>
    <w:p>
      <w:pPr>
        <w:pStyle w:val="Heading3"/>
      </w:pPr>
      <w:r>
        <w:t xml:space="preserve">8.3 Personuppgiftsbiträdets bidrag (art. 28.3 f)</w:t>
      </w:r>
    </w:p>
    <w:p>
      <w:pPr>
        <w:spacing w:after="120"/>
      </w:pPr>
      <w:r>
        <w:rPr>
          <w:highlight w:val="yellow"/>
          <w:highlightCs w:val="yellow"/>
        </w:rPr>
        <w:t xml:space="preserve">[Vilket underlag leverantören har lämnat]</w:t>
      </w:r>
    </w:p>
    <w:p>
      <w:pPr>
        <w:pStyle w:val="Heading1"/>
      </w:pPr>
      <w:r>
        <w:t xml:space="preserve">9. Sammantagen bedömning och beslut</w:t>
      </w:r>
    </w:p>
    <w:p>
      <w:pPr>
        <w:spacing w:after="120"/>
      </w:pPr>
      <w:r>
        <w:t xml:space="preserve">Sammantagen bedömning: </w:t>
      </w:r>
      <w:r>
        <w:rPr>
          <w:highlight w:val="yellow"/>
          <w:highlightCs w:val="yellow"/>
        </w:rPr>
        <w:t xml:space="preserve">[Behandlingen kan genomföras med de åtgärder som anges i avsnitt 6 / kan inte genomföras / kräver förhandssamråd.]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Beslut</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Ifylls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Beslutsfattare (enligt delegationsordning)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[Namn och befattning]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Datum</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[ÅÅÅÅ-MM-DD]</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Villkor för beslutet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10. Uppföljning (art. 35.11)</w:t>
      </w:r>
    </w:p>
    <w:p>
      <w:pPr>
        <w:spacing w:after="120"/>
      </w:pPr>
      <w:r>
        <w:t xml:space="preserve">Bedömningen ska ses över åtminstone när risken förändras, till exempel vid ny funktionalitet, nya ändamål, nya underbiträden, ändrade villkor hos leverantören eller en personuppgiftsincident.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44"/>
        <w:gridCol w:w="2888"/>
        <w:gridCol w:w="2888"/>
        <w:gridCol w:w="1805"/>
      </w:tblGrid>
      <w:tr>
        <w:trPr>
          <w:tblHeader/>
        </w:trPr>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Datum</w:t>
            </w:r>
          </w:p>
        </w:tc>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Anledning till översyn</w:t>
            </w:r>
          </w:p>
        </w:tc>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Ändringar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Granskad av</w:t>
            </w:r>
          </w:p>
        </w:tc>
      </w:tr>
      <w:tr>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Tillägg A. AI-system</w:t>
      </w:r>
    </w:p>
    <w:p>
      <w:pPr>
        <w:spacing w:after="120"/>
      </w:pPr>
      <w:r>
        <w:t xml:space="preserve">Fyll i om behandlingen sker med hjälp av ett AI-system.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62"/>
        <w:gridCol w:w="4964"/>
      </w:tblGrid>
      <w:tr>
        <w:trPr>
          <w:tblHeader/>
        </w:trPr>
        <w:tc>
          <w:tcPr>
            <w:tcW w:type="dxa" w:w="406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Fråga</w:t>
            </w:r>
          </w:p>
        </w:tc>
        <w:tc>
          <w:tcPr>
            <w:tcW w:type="dxa" w:w="49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Svar</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Leverantör, systemets namn och version</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Är systemet ett AI-system med hög risk enligt bilaga III punkt 3 i AI-förordningen (antagning, utvärdering av läranderesultat, bedömning av utbildningsnivå, övervakning vid prov)?</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[Ja/Nej, motivering]</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Använder leverantören in- eller utdata för att träna eller förbättra modeller?</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Har leverantörens bruksanvisning och information enligt artikel 13 i AI-förordningen använts i denna bedömning (art. 26.9)?</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Hur säkerställs mänsklig kontroll över resultat som påverkar enskilda?</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Hur informeras de som berörs?</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1"/>
      </w:pPr>
      <w:r>
        <w:t xml:space="preserve">Tillägg B. Konsekvensbedömning avseende grundläggande rättigheter (AI-förordningen art. 27)</w:t>
      </w:r>
    </w:p>
    <w:p>
      <w:pPr>
        <w:pBdr>
          <w:left w:val="single" w:color="F59E0B" w:sz="18" w:space="8"/>
        </w:pBdr>
        <w:shd w:fill="FFFBEB" w:color="auto" w:val="clear"/>
        <w:spacing w:after="160" w:before="120"/>
      </w:pPr>
      <w:r>
        <w:rPr>
          <w:i/>
          <w:iCs/>
        </w:rPr>
        <w:t xml:space="preserve">Krävs av offentligrättsliga organ och privata enheter som tillhandahåller offentliga tjänster innan de använder ett AI-system med hög risk enligt artikel 6.2 (med vissa undantag). För system enligt bilaga III gäller kravet från och med den 2 december 2027 enligt förordning (EU) 2026/1744. Korshänvisningar till avsnitten ovan är tillåtna. Resultatet ska anmälas till marknadskontrollmyndigheten.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62"/>
        <w:gridCol w:w="4964"/>
      </w:tblGrid>
      <w:tr>
        <w:trPr>
          <w:tblHeader/>
        </w:trPr>
        <w:tc>
          <w:tcPr>
            <w:tcW w:type="dxa" w:w="406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Krav i artikel 27.1</w:t>
            </w:r>
          </w:p>
        </w:tc>
        <w:tc>
          <w:tcPr>
            <w:tcW w:type="dxa" w:w="49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Beskrivning eller hänvisning</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 De processer där systemet ska användas</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 Tidsperiod och frekvens för användningen</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 Kategorier av personer och grupper som sannolikt påverkas</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 Specifika risker för skada för dessa grupper</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 Genomförande av mänsklig kontroll enligt bruksanvisningen</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 Åtgärder om riskerna förverkligas, intern styrning och klagomålsmekanismer</w:t>
            </w:r>
          </w:p>
        </w:tc>
        <w:tc>
          <w:tcPr>
            <w:tcW w:type="dxa" w:w="49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Mall från validemic.com. Mallen utgör inte juridisk rådgivning. Låt er jurist eller ert dataskyddsombud granska den innan ni använder den.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Konsekvensbedömning avseende dataskydd</dc:title>
  <dc:creator>Validemic</dc:creator>
  <cp:lastModifiedBy>Un-named</cp:lastModifiedBy>
  <cp:revision>1</cp:revision>
  <dcterms:created xsi:type="dcterms:W3CDTF">2026-10-07T02:31:32.795Z</dcterms:created>
  <dcterms:modified xsi:type="dcterms:W3CDTF">2026-10-07T02:31:32.795Z</dcterms:modified>
</cp:coreProperties>
</file>

<file path=docProps/custom.xml><?xml version="1.0" encoding="utf-8"?>
<Properties xmlns="http://schemas.openxmlformats.org/officeDocument/2006/custom-properties" xmlns:vt="http://schemas.openxmlformats.org/officeDocument/2006/docPropsVTypes"/>
</file>