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Legitimate interest assessment (LIA): template for universities</w:t>
      </w:r>
    </w:p>
    <w:p>
      <w:pPr>
        <w:spacing w:after="240"/>
      </w:pPr>
      <w:r>
        <w:rPr>
          <w:color w:val="64748B"/>
        </w:rPr>
        <w:t xml:space="preserve">Article 6(1)(f) GDPR. Part 0 public authority screening, Part 1 description, Parts 2 to 4 the three tests, Part 5 safeguards, Part 6 outcome and review. Version 1.0, October 2026.</w:t>
      </w:r>
    </w:p>
    <w:p>
      <w:pPr>
        <w:pBdr>
          <w:left w:val="single" w:color="F59E0B" w:sz="18" w:space="8"/>
        </w:pBdr>
        <w:shd w:fill="FFFBEB" w:color="auto" w:val="clear"/>
        <w:spacing w:after="160" w:before="120"/>
      </w:pPr>
      <w:r>
        <w:rPr>
          <w:i/>
          <w:iCs/>
        </w:rPr>
        <w:t xml:space="preserve">How to use this template: complete one assessment per purpose, before the processing starts, with the DPO's involvement. Fill in everything in </w:t>
      </w:r>
      <w:r>
        <w:rPr>
          <w:i/>
          <w:iCs/>
          <w:highlight w:val="yellow"/>
          <w:highlightCs w:val="yellow"/>
        </w:rPr>
        <w:t xml:space="preserve">[square brackets]</w:t>
      </w:r>
      <w:r>
        <w:rPr>
          <w:i/>
          <w:iCs/>
        </w:rPr>
        <w:t xml:space="preserve">. The rows marked EXAMPLE describe a hypothetical alumni event invitation activity at a university that is not acting as a public authority for this purpose; delete them before use. The method follows the EDPB's draft Guidelines 1/2024 (version 1.0 for public consultation, checked 7 October 2026). This template is not legal advice.</w:t>
      </w:r>
    </w:p>
    <w:p>
      <w:pPr>
        <w:pStyle w:val="Heading1"/>
      </w:pPr>
      <w:r>
        <w:t xml:space="preserve">Instructions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Start with Part 0.</w:t>
      </w:r>
      <w:r>
        <w:t xml:space="preserve"> Article 6(1)(f) does not apply to processing carried out by public authorities in the performance of their tasks. If Part 0 shows that the processing is part of your tasks and your institution is a public authority, stop and use another lawful basis.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One purpose per assessment.</w:t>
      </w:r>
      <w:r>
        <w:t xml:space="preserve"> Do not combine several purposes in one LIA.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All three tests must be met.</w:t>
      </w:r>
      <w:r>
        <w:t xml:space="preserve"> A legitimate interest alone is not enough: the processing must also be necessary, and the interest must not be overridden by the interests, rights and freedoms of the people concerned.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Mitigation means extra.</w:t>
      </w:r>
      <w:r>
        <w:t xml:space="preserve"> Measures the GDPR already requires (security, minimisation, information, data subject rights) do not count as mitigating measures. If you add genuine extra safeguards, repeat the balancing test.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Tell people.</w:t>
      </w:r>
      <w:r>
        <w:t xml:space="preserve"> State the legitimate interest in the privacy notice (Article 13(1)(d) or 14(2)(b)) and provide a route to object (Article 21).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Review.</w:t>
      </w:r>
      <w:r>
        <w:t xml:space="preserve"> Review the assessment regularly and whenever the purpose, data, vendor or context changes, or after objections or complaints.</w:t>
      </w:r>
    </w:p>
    <w:p>
      <w:pPr>
        <w:pStyle w:val="Heading1"/>
      </w:pPr>
      <w:r>
        <w:t xml:space="preserve">Part 0: Can legitimate interests apply? (public authority screening)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2708"/>
        <w:gridCol w:w="2708"/>
      </w:tblGrid>
      <w:tr>
        <w:trPr>
          <w:tblHeader/>
        </w:trP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Is the institution (or the unit acting) a public authority or public body under national law?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[Yes / No / Partly. Cite the national provision.]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Yes for its statutory tasks </w:t>
            </w:r>
            <w:r>
              <w:rPr>
                <w:highlight w:val="yellow"/>
                <w:highlightCs w:val="yellow"/>
              </w:rPr>
              <w:t xml:space="preserve">[cite national provision]</w:t>
            </w:r>
            <w:r>
              <w:t xml:space="preserve">.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Is this processing part of the tasks given to the institution by law (teaching, research, student administration, examinations, other statutory duties)?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[Yes / No. Explain.]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No. Alumni social events are not among the statutory tasks </w:t>
            </w:r>
            <w:r>
              <w:rPr>
                <w:highlight w:val="yellow"/>
                <w:highlightCs w:val="yellow"/>
              </w:rPr>
              <w:t xml:space="preserve">[confirm with legal office]</w:t>
            </w:r>
            <w:r>
              <w:t xml:space="preserve">.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If the institution is a public authority, does national law permit reliance on legitimate interests for activities outside its tasks?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[Yes / No / Unclear. Source.]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</w:t>
            </w:r>
            <w:r>
              <w:rPr>
                <w:highlight w:val="yellow"/>
                <w:highlightCs w:val="yellow"/>
              </w:rPr>
              <w:t xml:space="preserve">[Legal office advice ref.]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Is another lawful basis more appropriate (public task, legal obligation, contract, consent)?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[Explain.]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Consent considered; legitimate interests chosen because </w:t>
            </w:r>
            <w:r>
              <w:rPr>
                <w:highlight w:val="yellow"/>
                <w:highlightCs w:val="yellow"/>
              </w:rPr>
              <w:t xml:space="preserve">[reason]</w:t>
            </w:r>
            <w:r>
              <w:t xml:space="preserve">.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Screening result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[Proceed with LIA / Stop: use [basis]</w:t>
            </w:r>
            <w:r>
              <w:t xml:space="preserve">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Proceed, exceptional reliance documented internally.</w:t>
            </w:r>
          </w:p>
        </w:tc>
      </w:tr>
    </w:tbl>
    <w:p/>
    <w:p>
      <w:pPr>
        <w:pStyle w:val="Heading1"/>
      </w:pPr>
      <w:r>
        <w:t xml:space="preserve">Part 1: Description of the processing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3159"/>
        <w:gridCol w:w="2708"/>
      </w:tblGrid>
      <w:tr>
        <w:trPr>
          <w:tblHeader/>
        </w:trP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Entry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Name of the processing activity and ROPA reference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Alumni event invitations, ROPA ref. ALU-03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Controller (legal entity) and owner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</w:t>
            </w:r>
            <w:r>
              <w:rPr>
                <w:highlight w:val="yellow"/>
                <w:highlightCs w:val="yellow"/>
              </w:rPr>
              <w:t xml:space="preserve">[University]</w:t>
            </w:r>
            <w:r>
              <w:t xml:space="preserve">, Alumni Relations Manager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Purpose (one purpose only)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Inviting graduates to alumni events in their region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Data subjects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Graduates of the last </w:t>
            </w:r>
            <w:r>
              <w:rPr>
                <w:highlight w:val="yellow"/>
                <w:highlightCs w:val="yellow"/>
              </w:rPr>
              <w:t xml:space="preserve">[X]</w:t>
            </w:r>
            <w:r>
              <w:t xml:space="preserve"> years who have not opted out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Personal data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Name, email, graduation year, programme, city of residence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Special category or criminal offence data?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[Yes / No]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No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Source of the data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Student records at graduation; updates provided by alumni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Systems and vendors (processors)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CRM </w:t>
            </w:r>
            <w:r>
              <w:rPr>
                <w:highlight w:val="yellow"/>
                <w:highlightCs w:val="yellow"/>
              </w:rPr>
              <w:t xml:space="preserve">[vendor]</w:t>
            </w:r>
            <w:r>
              <w:t xml:space="preserve">, email service </w:t>
            </w:r>
            <w:r>
              <w:rPr>
                <w:highlight w:val="yellow"/>
                <w:highlightCs w:val="yellow"/>
              </w:rPr>
              <w:t xml:space="preserve">[vendor]</w:t>
            </w:r>
            <w:r>
              <w:t xml:space="preserve">; vendor assessments </w:t>
            </w:r>
            <w:r>
              <w:rPr>
                <w:highlight w:val="yellow"/>
                <w:highlightCs w:val="yellow"/>
              </w:rPr>
              <w:t xml:space="preserve">[refs]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Retention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Until the person opts out, or </w:t>
            </w:r>
            <w:r>
              <w:rPr>
                <w:highlight w:val="yellow"/>
                <w:highlightCs w:val="yellow"/>
              </w:rPr>
              <w:t xml:space="preserve">[X years]</w:t>
            </w:r>
            <w:r>
              <w:t xml:space="preserve"> without engagement</w:t>
            </w:r>
          </w:p>
        </w:tc>
      </w:tr>
      <w:tr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DPIA screening result</w:t>
            </w:r>
          </w:p>
        </w:tc>
        <w:tc>
          <w:tcPr>
            <w:tcW w:type="dxa" w:w="3159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[Not required / Required, ref.]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Not required, screening ref. </w:t>
            </w:r>
            <w:r>
              <w:rPr>
                <w:highlight w:val="yellow"/>
                <w:highlightCs w:val="yellow"/>
              </w:rPr>
              <w:t xml:space="preserve">[..]</w:t>
            </w:r>
          </w:p>
        </w:tc>
      </w:tr>
    </w:tbl>
    <w:p/>
    <w:p>
      <w:pPr>
        <w:pStyle w:val="Heading1"/>
      </w:pPr>
      <w:r>
        <w:t xml:space="preserve">Part 2: Legitimate interest test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2708"/>
        <w:gridCol w:w="2708"/>
      </w:tblGrid>
      <w:tr>
        <w:trPr>
          <w:tblHeader/>
        </w:trP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Whose interest is it: the institution's or a third party's?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The institution's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Describe the interest clearly and precisely.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Maintaining a relationship with graduates through regional events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Is the interest lawful (not contrary to EU or national law)?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Yes; electronic marketing rules checked </w:t>
            </w:r>
            <w:r>
              <w:rPr>
                <w:highlight w:val="yellow"/>
                <w:highlightCs w:val="yellow"/>
              </w:rPr>
              <w:t xml:space="preserve">[ref.]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Is the interest real and present, not speculative?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Yes; </w:t>
            </w:r>
            <w:r>
              <w:rPr>
                <w:highlight w:val="yellow"/>
                <w:highlightCs w:val="yellow"/>
              </w:rPr>
              <w:t xml:space="preserve">[X]</w:t>
            </w:r>
            <w:r>
              <w:t xml:space="preserve"> events are planned for </w:t>
            </w:r>
            <w:r>
              <w:rPr>
                <w:highlight w:val="yellow"/>
                <w:highlightCs w:val="yellow"/>
              </w:rPr>
              <w:t xml:space="preserve">[year]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Benefits to the institution, to the people concerned and to others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Professional networking for graduates; engagement with the institution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Result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[Legitimate interest identified / Not identified]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Identified</w:t>
            </w:r>
          </w:p>
        </w:tc>
      </w:tr>
    </w:tbl>
    <w:p/>
    <w:p>
      <w:pPr>
        <w:pStyle w:val="Heading1"/>
      </w:pPr>
      <w:r>
        <w:t xml:space="preserve">Part 3: Necessity test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2708"/>
        <w:gridCol w:w="2708"/>
      </w:tblGrid>
      <w:tr>
        <w:trPr>
          <w:tblHeader/>
        </w:trP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Does the processing actually help achieve the interest?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Yes; invitations are the means of reaching graduates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Can the interest reasonably be achieved just as effectively by less intrusive means (less data, aggregated data, shorter retention, no processing)?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Public event listings alone would reach far fewer graduates; city is used instead of full address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Is every data field needed? List any removed.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Date of birth and grades removed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Is the processing proportionate to the interest?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Yes, limited to event invitations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Result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[Necessary / Not necessary]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Necessary</w:t>
            </w:r>
          </w:p>
        </w:tc>
      </w:tr>
    </w:tbl>
    <w:p/>
    <w:p>
      <w:pPr>
        <w:pStyle w:val="Heading1"/>
      </w:pPr>
      <w:r>
        <w:t xml:space="preserve">Part 4: Balancing test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2708"/>
        <w:gridCol w:w="2708"/>
      </w:tblGrid>
      <w:tr>
        <w:trPr>
          <w:tblHeader/>
        </w:trP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Factor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Assessment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Rights and interests of the people that could be affected (privacy, non-discrimination, freedom of expression, financial, social, chilling effects)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Privacy; unwanted contact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Nature of the data (sensitive, special category, data about vulnerable people or children)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Not sensitive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Context: scale, combination of datasets, power imbalance, vulnerability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Moderate scale; no combination with external data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Further consequences for the people (decisions, exclusion, profiling, reputational or financial effects)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None beyond receiving invitations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Reasonable expectations: relationship, context of collection, the average person's understanding, age, time since the relationship ended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Graduates were told at graduation; expectation decreases with time since graduation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Can people easily object or opt out?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Yes, link in every email and in the alumni portal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Interim result before additional safeguards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[Not overridden / Overridden / Borderline]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Borderline for graduates of more than </w:t>
            </w:r>
            <w:r>
              <w:rPr>
                <w:highlight w:val="yellow"/>
                <w:highlightCs w:val="yellow"/>
              </w:rPr>
              <w:t xml:space="preserve">[X]</w:t>
            </w:r>
            <w:r>
              <w:t xml:space="preserve"> years ago</w:t>
            </w:r>
          </w:p>
        </w:tc>
      </w:tr>
    </w:tbl>
    <w:p/>
    <w:p>
      <w:pPr>
        <w:pStyle w:val="Heading1"/>
      </w:pPr>
      <w:r>
        <w:t xml:space="preserve">Part 5: Additional safeguards and second balancing round</w:t>
      </w:r>
    </w:p>
    <w:p>
      <w:pPr>
        <w:pBdr>
          <w:left w:val="single" w:color="F59E0B" w:sz="18" w:space="8"/>
        </w:pBdr>
        <w:shd w:fill="FFFBEB" w:color="auto" w:val="clear"/>
        <w:spacing w:after="160" w:before="120"/>
      </w:pPr>
      <w:r>
        <w:rPr>
          <w:i/>
          <w:iCs/>
        </w:rPr>
        <w:t xml:space="preserve">Only list safeguards that go beyond what the GDPR already requires. Security, minimisation, privacy notices and answering rights requests are legal obligations, not mitigation.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2708"/>
        <w:gridCol w:w="2708"/>
      </w:tblGrid>
      <w:tr>
        <w:trPr>
          <w:tblHeader/>
        </w:trP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Additional safeguard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Effect on the balance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Unconditional opt-out honoured for all alumni communications, not only marketing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Contact limited to graduates of the last </w:t>
            </w:r>
            <w:r>
              <w:rPr>
                <w:highlight w:val="yellow"/>
                <w:highlightCs w:val="yellow"/>
              </w:rPr>
              <w:t xml:space="preserve">[X]</w:t>
            </w:r>
            <w:r>
              <w:t xml:space="preserve"> years unless they have re-engaged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No profiling or wealth screening for this purpose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Result after safeguards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[Not overridden / Overridden: stop]</w:t>
            </w:r>
          </w:p>
        </w:tc>
        <w:tc>
          <w:tcPr>
            <w:tcW w:type="dxa" w:w="2708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EXAMPLE: Not overridden</w:t>
            </w:r>
          </w:p>
        </w:tc>
      </w:tr>
    </w:tbl>
    <w:p/>
    <w:p>
      <w:pPr>
        <w:pStyle w:val="Heading1"/>
      </w:pPr>
      <w:r>
        <w:t xml:space="preserve">Part 6: Outcome, sign-off and review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5416"/>
      </w:tblGrid>
      <w:tr>
        <w:trPr>
          <w:tblHeader/>
        </w:trP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41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Entry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Conclusion: can the processing rely on Article 6(1)(f)?</w:t>
            </w:r>
          </w:p>
        </w:tc>
        <w:tc>
          <w:tcPr>
            <w:tcW w:type="dxa" w:w="541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[Yes / No / Yes with conditions]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Conditions</w:t>
            </w:r>
          </w:p>
        </w:tc>
        <w:tc>
          <w:tcPr>
            <w:tcW w:type="dxa" w:w="541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Related DPIA (if any)</w:t>
            </w:r>
          </w:p>
        </w:tc>
        <w:tc>
          <w:tcPr>
            <w:tcW w:type="dxa" w:w="541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[ref.]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DPO advice and date</w:t>
            </w:r>
          </w:p>
        </w:tc>
        <w:tc>
          <w:tcPr>
            <w:tcW w:type="dxa" w:w="541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Approved by (name, role, date)</w:t>
            </w:r>
          </w:p>
        </w:tc>
        <w:tc>
          <w:tcPr>
            <w:tcW w:type="dxa" w:w="541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Text for the privacy notice (Article 13(1)(d) / 14(2)(b))</w:t>
            </w:r>
          </w:p>
        </w:tc>
        <w:tc>
          <w:tcPr>
            <w:tcW w:type="dxa" w:w="541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[We process [data]</w:t>
            </w:r>
            <w:r>
              <w:t xml:space="preserve"> on the basis of our legitimate interests in </w:t>
            </w:r>
            <w:r>
              <w:rPr>
                <w:highlight w:val="yellow"/>
                <w:highlightCs w:val="yellow"/>
              </w:rPr>
              <w:t xml:space="preserve">[specific interest]</w:t>
            </w:r>
            <w:r>
              <w:t xml:space="preserve">. You can object at any time by </w:t>
            </w:r>
            <w:r>
              <w:rPr>
                <w:highlight w:val="yellow"/>
                <w:highlightCs w:val="yellow"/>
              </w:rPr>
              <w:t xml:space="preserve">[route]</w:t>
            </w:r>
            <w:r>
              <w:t xml:space="preserve">. A summary of our assessment is available from </w:t>
            </w:r>
            <w:r>
              <w:rPr>
                <w:highlight w:val="yellow"/>
                <w:highlightCs w:val="yellow"/>
              </w:rPr>
              <w:t xml:space="preserve">[contact]</w:t>
            </w:r>
            <w:r>
              <w:t xml:space="preserve">.]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Objection route and who handles objections</w:t>
            </w:r>
          </w:p>
        </w:tc>
        <w:tc>
          <w:tcPr>
            <w:tcW w:type="dxa" w:w="541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</w:tr>
      <w:tr>
        <w:tc>
          <w:tcPr>
            <w:tcW w:type="dxa" w:w="3610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Next review date</w:t>
            </w:r>
          </w:p>
        </w:tc>
        <w:tc>
          <w:tcPr>
            <w:tcW w:type="dxa" w:w="5416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</w:tr>
    </w:tbl>
    <w:p/>
    <w:p>
      <w:pPr>
        <w:pStyle w:val="Heading2"/>
      </w:pPr>
      <w:r>
        <w:t xml:space="preserve">Review log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4"/>
        <w:gridCol w:w="1805"/>
        <w:gridCol w:w="2257"/>
        <w:gridCol w:w="2257"/>
        <w:gridCol w:w="1354"/>
      </w:tblGrid>
      <w:tr>
        <w:trPr>
          <w:tblHeader/>
        </w:trPr>
        <w:tc>
          <w:tcPr>
            <w:tcW w:type="dxa" w:w="135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Reviewer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Trigger (scheduled, new vendor, new data, objection, complaint)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Changes</w:t>
            </w:r>
          </w:p>
        </w:tc>
        <w:tc>
          <w:tcPr>
            <w:tcW w:type="dxa" w:w="135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shd w:fill="E2E8F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W w:type="dxa" w:w="135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135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</w:tr>
      <w:tr>
        <w:tc>
          <w:tcPr>
            <w:tcW w:type="dxa" w:w="135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1805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2257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  <w:tc>
          <w:tcPr>
            <w:tcW w:type="dxa" w:w="1354"/>
            <w:tcBorders>
              <w:top w:val="single" w:color="BFC7D5" w:sz="4"/>
              <w:left w:val="single" w:color="BFC7D5" w:sz="4"/>
              <w:bottom w:val="single" w:color="BFC7D5" w:sz="4"/>
              <w:right w:val="single" w:color="BFC7D5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highlight w:val="yellow"/>
                <w:highlightCs w:val="yellow"/>
              </w:rPr>
              <w:t xml:space="preserve">[...]</w:t>
            </w:r>
          </w:p>
        </w:tc>
      </w:tr>
    </w:tbl>
    <w:p/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Template from validemic.com. Not legal advice: have it reviewed for your institution before use. 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b/>
      <w:bCs/>
      <w:color w:val="0F1F38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b/>
      <w:bCs/>
      <w:color w:val="0F1F38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b/>
      <w:bCs/>
      <w:color w:val="1D4589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b/>
      <w:bCs/>
      <w:color w:val="33415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Legitimate interest assessment (LIA): template for universities</dc:title>
  <dc:creator>Validemic</dc:creator>
  <cp:lastModifiedBy>Un-named</cp:lastModifiedBy>
  <cp:revision>1</cp:revision>
  <dcterms:created xsi:type="dcterms:W3CDTF">2026-10-07T07:27:58.453Z</dcterms:created>
  <dcterms:modified xsi:type="dcterms:W3CDTF">2026-10-07T07:27:58.453Z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