
<file path=[Content_Types].xml><?xml version="1.0" encoding="utf-8"?>
<Types xmlns="http://schemas.openxmlformats.org/package/2006/content-types">
  <Default ContentType="image/png" Extension="png"/>
  <Default ContentType="image/jpeg" Extension="jpeg"/>
  <Default ContentType="image/jpeg" Extension="jpg"/>
  <Default ContentType="image/bmp" Extension="bmp"/>
  <Default ContentType="image/gif" Extension="gif"/>
  <Default ContentType="image/svg+xml" Extension="svg"/>
  <Default ContentType="application/vnd.openxmlformats-package.relationships+xml" Extension="rels"/>
  <Default ContentType="application/xml" Extension="xml"/>
  <Default ContentType="application/vnd.openxmlformats-officedocument.obfuscatedFont" Extension="odttf"/>
  <Override ContentType="application/vnd.openxmlformats-officedocument.wordprocessingml.document.main+xml" PartName="/word/document.xml"/>
  <Override ContentType="application/vnd.openxmlformats-officedocument.wordprocessingml.styles+xml" PartName="/word/styles.xml"/>
  <Override ContentType="application/vnd.openxmlformats-package.core-properties+xml" PartName="/docProps/core.xml"/>
  <Override ContentType="application/vnd.openxmlformats-officedocument.custom-properties+xml" PartName="/docProps/custom.xml"/>
  <Override ContentType="application/vnd.openxmlformats-officedocument.extended-properties+xml" PartName="/docProps/app.xml"/>
  <Override ContentType="application/vnd.openxmlformats-officedocument.wordprocessingml.numbering+xml" PartName="/word/numbering.xml"/>
  <Override ContentType="application/vnd.openxmlformats-officedocument.wordprocessingml.footnotes+xml" PartName="/word/footnotes.xml"/>
  <Override ContentType="application/vnd.openxmlformats-officedocument.wordprocessingml.endnotes+xml" PartName="/word/endnotes.xml"/>
  <Override ContentType="application/vnd.openxmlformats-officedocument.wordprocessingml.settings+xml" PartName="/word/settings.xml"/>
  <Override ContentType="application/vnd.openxmlformats-officedocument.wordprocessingml.comments+xml" PartName="/word/comments.xml"/>
  <Override ContentType="application/vnd.openxmlformats-officedocument.wordprocessingml.fontTable+xml" PartName="/word/fontTable.xml"/>
  <Override ContentType="application/vnd.openxmlformats-officedocument.wordprocessingml.footer+xml" PartName="/word/footer1.xml"/>
</Types>
</file>

<file path=_rels/.rels><?xml version="1.0" encoding="UTF-8"?><Relationships xmlns="http://schemas.openxmlformats.org/package/2006/relationships"><Relationship Id="rId1" Type="http://schemas.openxmlformats.org/officeDocument/2006/relationships/officeDocument" Target="word/document.xml"/><Relationship Id="rId2" Type="http://schemas.openxmlformats.org/package/2006/relationships/metadata/core-properties" Target="docProps/core.xml"/><Relationship Id="rId3" Type="http://schemas.openxmlformats.org/officeDocument/2006/relationships/extended-properties" Target="docProps/app.xml"/><Relationship Id="rId4" Type="http://schemas.openxmlformats.org/officeDocument/2006/relationships/custom-properties" Target="docProps/custom.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aink="http://schemas.microsoft.com/office/drawing/2016/ink" xmlns:am3d="http://schemas.microsoft.com/office/drawing/2017/model3d"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p14">
  <w:body>
    <w:p>
      <w:pPr>
        <w:pStyle w:val="Title"/>
      </w:pPr>
      <w:r>
        <w:t xml:space="preserve">Contrat de sous-traitance de données à caractère personnel</w:t>
      </w:r>
    </w:p>
    <w:p>
      <w:pPr>
        <w:spacing w:after="240"/>
      </w:pPr>
      <w:r>
        <w:rPr>
          <w:color w:val="64748B"/>
        </w:rPr>
        <w:t xml:space="preserve">Modèle pour les universités, écoles et organismes de recherche, établi au regard de l’article 28 du RGPD · version d’octobre 2026 · validemic.com/ressources/modele-contrat-sous-traitance-rgpd/</w:t>
      </w:r>
    </w:p>
    <w:p>
      <w:pPr>
        <w:pBdr>
          <w:left w:val="single" w:color="F59E0B" w:sz="18" w:space="8"/>
        </w:pBdr>
        <w:shd w:fill="FFFBEB" w:color="auto" w:val="clear"/>
        <w:spacing w:after="160" w:before="120"/>
      </w:pPr>
      <w:r>
        <w:rPr>
          <w:i/>
          <w:iCs/>
        </w:rPr>
        <w:t xml:space="preserve">Notice de remplissage (à supprimer avant envoi). Ce modèle encadre le traitement de données personnelles par un prestataire (le sous-traitant) pour le compte de votre établissement (le responsable du traitement). Il reprend toutes les clauses exigées par l’article 28, paragraphes 2, 3 et 4, du RGPD. Complétez les </w:t>
      </w:r>
      <w:r>
        <w:rPr>
          <w:i/>
          <w:iCs/>
          <w:highlight w:val="yellow"/>
          <w:highlightCs w:val="yellow"/>
        </w:rPr>
        <w:t xml:space="preserve">[champs entre crochets]</w:t>
      </w:r>
      <w:r>
        <w:rPr>
          <w:i/>
          <w:iCs/>
        </w:rPr>
        <w:t xml:space="preserve">, retenez une option là où figure </w:t>
      </w:r>
      <w:r>
        <w:rPr>
          <w:i/>
          <w:iCs/>
          <w:highlight w:val="yellow"/>
          <w:highlightCs w:val="yellow"/>
        </w:rPr>
        <w:t xml:space="preserve">[OPTION]</w:t>
      </w:r>
      <w:r>
        <w:rPr>
          <w:i/>
          <w:iCs/>
        </w:rPr>
        <w:t xml:space="preserve"> et supprimez l’autre. Remplissez les annexes de façon concrète : selon le comité européen de la protection des données (CEPD), le contrat ne devrait pas se contenter de reproduire le RGPD mais préciser comment chaque obligation sera remplie.</w:t>
      </w:r>
    </w:p>
    <w:p>
      <w:pPr>
        <w:pBdr>
          <w:left w:val="single" w:color="F59E0B" w:sz="18" w:space="8"/>
        </w:pBdr>
        <w:shd w:fill="FFFBEB" w:color="auto" w:val="clear"/>
        <w:spacing w:after="160" w:before="120"/>
      </w:pPr>
      <w:r>
        <w:rPr>
          <w:i/>
          <w:iCs/>
        </w:rPr>
        <w:t xml:space="preserve">Ce modèle ne constitue pas un conseil juridique. Faites-le relire par le service juridique ou le délégué à la protection des données (DPO) de votre établissement et articulez-le avec les pièces de votre marché public ou de votre contrat principal.</w:t>
      </w:r>
    </w:p>
    <w:p>
      <w:pPr>
        <w:pStyle w:val="Heading1"/>
      </w:pPr>
      <w:r>
        <w:t xml:space="preserve">Entre les soussignés</w:t>
      </w:r>
    </w:p>
    <w:p>
      <w:pPr>
        <w:spacing w:after="120"/>
      </w:pPr>
      <w:r>
        <w:rPr>
          <w:b/>
          <w:bCs/>
        </w:rPr>
        <w:t xml:space="preserve">[Dénomination de l’établissement]</w:t>
      </w:r>
      <w:r>
        <w:t xml:space="preserve">, </w:t>
      </w:r>
      <w:r>
        <w:rPr>
          <w:highlight w:val="yellow"/>
          <w:highlightCs w:val="yellow"/>
        </w:rPr>
        <w:t xml:space="preserve">[statut juridique]</w:t>
      </w:r>
      <w:r>
        <w:t xml:space="preserve">, dont le siège est situé </w:t>
      </w:r>
      <w:r>
        <w:rPr>
          <w:highlight w:val="yellow"/>
          <w:highlightCs w:val="yellow"/>
        </w:rPr>
        <w:t xml:space="preserve">[adresse]</w:t>
      </w:r>
      <w:r>
        <w:t xml:space="preserve">, représenté par </w:t>
      </w:r>
      <w:r>
        <w:rPr>
          <w:highlight w:val="yellow"/>
          <w:highlightCs w:val="yellow"/>
        </w:rPr>
        <w:t xml:space="preserve">[nom et qualité du signataire]</w:t>
      </w:r>
      <w:r>
        <w:t xml:space="preserve">, dûment habilité(e) à cet effet (ci-après le </w:t>
      </w:r>
      <w:r>
        <w:rPr>
          <w:b/>
          <w:bCs/>
        </w:rPr>
        <w:t xml:space="preserve">Responsable du traitement</w:t>
      </w:r>
      <w:r>
        <w:t xml:space="preserve">),</w:t>
      </w:r>
    </w:p>
    <w:p>
      <w:pPr>
        <w:spacing w:after="120"/>
      </w:pPr>
      <w:r>
        <w:t xml:space="preserve">d’une part,</w:t>
      </w:r>
    </w:p>
    <w:p>
      <w:pPr>
        <w:spacing w:after="120"/>
      </w:pPr>
      <w:r>
        <w:rPr>
          <w:b/>
          <w:bCs/>
        </w:rPr>
        <w:t xml:space="preserve">[Dénomination du prestataire]</w:t>
      </w:r>
      <w:r>
        <w:t xml:space="preserve">, </w:t>
      </w:r>
      <w:r>
        <w:rPr>
          <w:highlight w:val="yellow"/>
          <w:highlightCs w:val="yellow"/>
        </w:rPr>
        <w:t xml:space="preserve">[forme sociale]</w:t>
      </w:r>
      <w:r>
        <w:t xml:space="preserve">, immatriculée sous le numéro </w:t>
      </w:r>
      <w:r>
        <w:rPr>
          <w:highlight w:val="yellow"/>
          <w:highlightCs w:val="yellow"/>
        </w:rPr>
        <w:t xml:space="preserve">[SIREN ou numéro d’immatriculation étranger]</w:t>
      </w:r>
      <w:r>
        <w:t xml:space="preserve">, dont le siège est situé </w:t>
      </w:r>
      <w:r>
        <w:rPr>
          <w:highlight w:val="yellow"/>
          <w:highlightCs w:val="yellow"/>
        </w:rPr>
        <w:t xml:space="preserve">[adresse]</w:t>
      </w:r>
      <w:r>
        <w:t xml:space="preserve">, représentée par </w:t>
      </w:r>
      <w:r>
        <w:rPr>
          <w:highlight w:val="yellow"/>
          <w:highlightCs w:val="yellow"/>
        </w:rPr>
        <w:t xml:space="preserve">[nom et qualité du signataire]</w:t>
      </w:r>
      <w:r>
        <w:t xml:space="preserve">, dûment habilité(e) à cet effet (ci-après le </w:t>
      </w:r>
      <w:r>
        <w:rPr>
          <w:b/>
          <w:bCs/>
        </w:rPr>
        <w:t xml:space="preserve">Sous-traitant</w:t>
      </w:r>
      <w:r>
        <w:t xml:space="preserve">),</w:t>
      </w:r>
    </w:p>
    <w:p>
      <w:pPr>
        <w:spacing w:after="120"/>
      </w:pPr>
      <w:r>
        <w:t xml:space="preserve">d’autre part,</w:t>
      </w:r>
    </w:p>
    <w:p>
      <w:pPr>
        <w:spacing w:after="120"/>
      </w:pPr>
      <w:r>
        <w:t xml:space="preserve">ci-après dénommés ensemble les </w:t>
      </w:r>
      <w:r>
        <w:rPr>
          <w:b/>
          <w:bCs/>
        </w:rPr>
        <w:t xml:space="preserve">Parties</w:t>
      </w:r>
      <w:r>
        <w:t xml:space="preserve"> et individuellement une </w:t>
      </w:r>
      <w:r>
        <w:rPr>
          <w:b/>
          <w:bCs/>
        </w:rPr>
        <w:t xml:space="preserve">Partie</w:t>
      </w:r>
      <w:r>
        <w:t xml:space="preserve">.</w:t>
      </w:r>
    </w:p>
    <w:p>
      <w:pPr>
        <w:pStyle w:val="Heading2"/>
      </w:pPr>
      <w:r>
        <w:t xml:space="preserve">Préambule</w:t>
      </w:r>
    </w:p>
    <w:p>
      <w:pPr>
        <w:pStyle w:val="ListParagraph"/>
        <w:numPr>
          <w:ilvl w:val="0"/>
          <w:numId w:val="2"/>
        </w:numPr>
      </w:pPr>
      <w:r>
        <w:t xml:space="preserve">Les Parties ont conclu le </w:t>
      </w:r>
      <w:r>
        <w:rPr>
          <w:highlight w:val="yellow"/>
          <w:highlightCs w:val="yellow"/>
        </w:rPr>
        <w:t xml:space="preserve">[date]</w:t>
      </w:r>
      <w:r>
        <w:t xml:space="preserve"> un </w:t>
      </w:r>
      <w:r>
        <w:rPr>
          <w:highlight w:val="yellow"/>
          <w:highlightCs w:val="yellow"/>
        </w:rPr>
        <w:t xml:space="preserve">[marché, contrat ou bon de commande n° …]</w:t>
      </w:r>
      <w:r>
        <w:t xml:space="preserve"> portant sur </w:t>
      </w:r>
      <w:r>
        <w:rPr>
          <w:highlight w:val="yellow"/>
          <w:highlightCs w:val="yellow"/>
        </w:rPr>
        <w:t xml:space="preserve">[description de la prestation, par exemple la fourniture d’une plateforme d’enquêtes en ligne]</w:t>
      </w:r>
      <w:r>
        <w:t xml:space="preserve"> (ci-après le </w:t>
      </w:r>
      <w:r>
        <w:rPr>
          <w:b/>
          <w:bCs/>
        </w:rPr>
        <w:t xml:space="preserve">Contrat principal</w:t>
      </w:r>
      <w:r>
        <w:t xml:space="preserve">).</w:t>
      </w:r>
    </w:p>
    <w:p>
      <w:pPr>
        <w:pStyle w:val="ListParagraph"/>
        <w:numPr>
          <w:ilvl w:val="0"/>
          <w:numId w:val="2"/>
        </w:numPr>
      </w:pPr>
      <w:r>
        <w:t xml:space="preserve">Pour l’exécution du Contrat principal, le Sous-traitant traite des données à caractère personnel pour le compte du Responsable du traitement, qui détermine les finalités et les moyens de ce traitement.</w:t>
      </w:r>
    </w:p>
    <w:p>
      <w:pPr>
        <w:pStyle w:val="ListParagraph"/>
        <w:numPr>
          <w:ilvl w:val="0"/>
          <w:numId w:val="2"/>
        </w:numPr>
      </w:pPr>
      <w:r>
        <w:t xml:space="preserve">Les Parties entendent, par le présent contrat, fixer les conditions de ce traitement conformément à l’article 28 du règlement (UE) 2016/679 du 27 avril 2016 (ci-après le </w:t>
      </w:r>
      <w:r>
        <w:rPr>
          <w:b/>
          <w:bCs/>
        </w:rPr>
        <w:t xml:space="preserve">RGPD</w:t>
      </w:r>
      <w:r>
        <w:t xml:space="preserve">) et à la loi n° 78-17 du 6 janvier 1978 relative à l’informatique, aux fichiers et aux libertés.</w:t>
      </w:r>
    </w:p>
    <w:p>
      <w:pPr>
        <w:spacing w:after="120"/>
      </w:pPr>
      <w:r>
        <w:t xml:space="preserve">Il a été convenu et arrêté ce qui suit :</w:t>
      </w:r>
    </w:p>
    <w:p>
      <w:pPr>
        <w:pStyle w:val="Heading2"/>
      </w:pPr>
      <w:r>
        <w:t xml:space="preserve">Article 1. Définitions et hiérarchie des documents</w:t>
      </w:r>
    </w:p>
    <w:p>
      <w:pPr>
        <w:spacing w:after="120"/>
      </w:pPr>
      <w:r>
        <w:t xml:space="preserve">1.1 Les termes employés dans le présent contrat ont le sens que leur donne l’article 4 du RGPD. Les </w:t>
      </w:r>
      <w:r>
        <w:rPr>
          <w:b/>
          <w:bCs/>
        </w:rPr>
        <w:t xml:space="preserve">Données</w:t>
      </w:r>
      <w:r>
        <w:t xml:space="preserve"> désignent les données à caractère personnel traitées par le Sous-traitant pour le compte du Responsable du traitement, décrites à l’annexe 1. Un </w:t>
      </w:r>
      <w:r>
        <w:rPr>
          <w:b/>
          <w:bCs/>
        </w:rPr>
        <w:t xml:space="preserve">Sous-traitant ultérieur</w:t>
      </w:r>
      <w:r>
        <w:t xml:space="preserve"> désigne tout autre sous-traitant auquel le Sous-traitant fait appel pour mener des activités de traitement pour le compte du Responsable du traitement.</w:t>
      </w:r>
    </w:p>
    <w:p>
      <w:pPr>
        <w:spacing w:after="120"/>
      </w:pPr>
      <w:r>
        <w:t xml:space="preserve">1.2 Les annexes font partie intégrante du présent contrat.</w:t>
      </w:r>
    </w:p>
    <w:p>
      <w:pPr>
        <w:spacing w:after="120"/>
      </w:pPr>
      <w:r>
        <w:t xml:space="preserve">1.3 En cas de contradiction entre le présent contrat et le Contrat principal, les conditions générales du Sous-traitant ou tout autre document émanant de celui-ci, le présent contrat prévaut pour tout ce qui concerne la protection des Données. Aucune modification unilatérale des conditions générales du Sous-traitant ne peut avoir pour effet de modifier le présent contrat.</w:t>
      </w:r>
    </w:p>
    <w:p>
      <w:pPr>
        <w:pStyle w:val="Heading2"/>
      </w:pPr>
      <w:r>
        <w:t xml:space="preserve">Article 2. Objet, durée et description du traitement</w:t>
      </w:r>
    </w:p>
    <w:p>
      <w:pPr>
        <w:spacing w:after="120"/>
      </w:pPr>
      <w:r>
        <w:t xml:space="preserve">2.1 Le Sous-traitant est autorisé à traiter, pour le compte du Responsable du traitement, les Données nécessaires pour fournir le service décrit au Contrat principal.</w:t>
      </w:r>
    </w:p>
    <w:p>
      <w:pPr>
        <w:spacing w:after="120"/>
      </w:pPr>
      <w:r>
        <w:t xml:space="preserve">2.2 L’objet, la durée, la nature et la finalité du traitement, les catégories de Données et les catégories de personnes concernées sont décrits à l’annexe 1.</w:t>
      </w:r>
    </w:p>
    <w:p>
      <w:pPr>
        <w:spacing w:after="120"/>
      </w:pPr>
      <w:r>
        <w:t xml:space="preserve">2.3 Le présent contrat entre en vigueur à la date de sa signature et produit ses effets pendant toute la durée du traitement des Données par le Sous-traitant. Si le traitement a débuté avant la signature, le présent contrat s’applique à compter du début du traitement.</w:t>
      </w:r>
    </w:p>
    <w:p>
      <w:pPr>
        <w:pStyle w:val="Heading2"/>
      </w:pPr>
      <w:r>
        <w:t xml:space="preserve">Article 3. Instructions documentées et limitation de la finalité</w:t>
      </w:r>
    </w:p>
    <w:p>
      <w:pPr>
        <w:spacing w:after="120"/>
      </w:pPr>
      <w:r>
        <w:t xml:space="preserve">3.1 Le Sous-traitant traite les Données uniquement sur instruction documentée du Responsable du traitement, y compris en ce qui concerne les transferts de Données vers un pays tiers ou à une organisation internationale. Le présent contrat, le Contrat principal et l’annexe 1 constituent les instructions initiales. Le Responsable du traitement peut donner des instructions complémentaires par écrit, y compris par courrier électronique, pendant toute la durée du traitement.</w:t>
      </w:r>
    </w:p>
    <w:p>
      <w:pPr>
        <w:spacing w:after="120"/>
      </w:pPr>
      <w:r>
        <w:t xml:space="preserve">3.2 Le Sous-traitant traite les Données uniquement pour la ou les finalités décrites à l’annexe 1. Il s’interdit de les utiliser pour ses besoins propres, notamment pour l’amélioration de ses produits, l’analyse statistique de leur utilisation, le profilage, la publicité ou l’entraînement, l’évaluation ou l’ajustement de modèles d’intelligence artificielle, sauf autorisation écrite et préalable du Responsable du traitement décrivant précisément l’usage autorisé.</w:t>
      </w:r>
    </w:p>
    <w:p>
      <w:pPr>
        <w:spacing w:after="120"/>
      </w:pPr>
      <w:r>
        <w:rPr>
          <w:highlight w:val="yellow"/>
          <w:highlightCs w:val="yellow"/>
        </w:rPr>
        <w:t xml:space="preserve">[OPTION : paragraphe à supprimer si aucun usage propre n’est accepté]</w:t>
      </w:r>
      <w:r>
        <w:t xml:space="preserve"> Par exception, les usages suivants sont autorisés : </w:t>
      </w:r>
      <w:r>
        <w:rPr>
          <w:highlight w:val="yellow"/>
          <w:highlightCs w:val="yellow"/>
        </w:rPr>
        <w:t xml:space="preserve">[description précise]</w:t>
      </w:r>
      <w:r>
        <w:t xml:space="preserve">. Pour ces usages, le Sous-traitant agit en qualité de responsable de ce traitement et utilise, dans la mesure du possible, des données agrégées ou anonymisées.</w:t>
      </w:r>
    </w:p>
    <w:p>
      <w:pPr>
        <w:spacing w:after="120"/>
      </w:pPr>
      <w:r>
        <w:t xml:space="preserve">3.3 Si le Sous-traitant est tenu de traiter les Données en vertu du droit de l’Union ou du droit de l’État membre auquel il est soumis en dehors des instructions du Responsable du traitement, il informe celui-ci de cette obligation juridique avant le traitement, sauf si le droit concerné interdit une telle information pour des motifs importants d’intérêt public.</w:t>
      </w:r>
    </w:p>
    <w:p>
      <w:pPr>
        <w:spacing w:after="120"/>
      </w:pPr>
      <w:r>
        <w:t xml:space="preserve">3.4 Le Sous-traitant informe immédiatement le Responsable du traitement si, selon lui, une instruction constitue une violation du RGPD ou d’autres dispositions du droit de l’Union ou du droit des États membres relatives à la protection des données. Il peut alors suspendre l’exécution de l’instruction en cause jusqu’à ce que le Responsable du traitement l’ait confirmée, modifiée ou retirée. Si le Responsable du traitement maintient une instruction manifestement illicite, chaque Partie peut résilier le présent contrat et la partie concernée du Contrat principal.</w:t>
      </w:r>
    </w:p>
    <w:p>
      <w:pPr>
        <w:pStyle w:val="Heading2"/>
      </w:pPr>
      <w:r>
        <w:t xml:space="preserve">Article 4. Confidentialité</w:t>
      </w:r>
    </w:p>
    <w:p>
      <w:pPr>
        <w:spacing w:after="120"/>
      </w:pPr>
      <w:r>
        <w:t xml:space="preserve">4.1 Le Sous-traitant garantit la confidentialité des Données. Il veille à ce que les personnes autorisées à traiter les Données sous son autorité s’engagent à respecter la confidentialité ou soient soumises à une obligation légale appropriée de confidentialité, et reçoivent la formation nécessaire en matière de protection des données.</w:t>
      </w:r>
    </w:p>
    <w:p>
      <w:pPr>
        <w:spacing w:after="120"/>
      </w:pPr>
      <w:r>
        <w:t xml:space="preserve">4.2 Le Sous-traitant n’accorde l’accès aux Données qu’aux membres de son personnel pour lesquels cet accès est strictement nécessaire à l’exécution du Contrat principal.</w:t>
      </w:r>
    </w:p>
    <w:p>
      <w:pPr>
        <w:pStyle w:val="Heading2"/>
      </w:pPr>
      <w:r>
        <w:t xml:space="preserve">Article 5. Sécurité du traitement</w:t>
      </w:r>
    </w:p>
    <w:p>
      <w:pPr>
        <w:spacing w:after="120"/>
      </w:pPr>
      <w:r>
        <w:t xml:space="preserve">5.1 Le Sous-traitant met en œuvre toutes les mesures techniques et organisationnelles requises en vertu de l’article 32 du RGPD, et au minimum celles décrites à l’annexe 2, pour garantir un niveau de sécurité adapté au risque.</w:t>
      </w:r>
    </w:p>
    <w:p>
      <w:pPr>
        <w:spacing w:after="120"/>
      </w:pPr>
      <w:r>
        <w:t xml:space="preserve">5.2 Le Sous-traitant réexamine ces mesures au moins </w:t>
      </w:r>
      <w:r>
        <w:rPr>
          <w:highlight w:val="yellow"/>
          <w:highlightCs w:val="yellow"/>
        </w:rPr>
        <w:t xml:space="preserve">[une fois par an]</w:t>
      </w:r>
      <w:r>
        <w:t xml:space="preserve"> et les adapte à l’état des connaissances et à l’évolution des risques. Aucune modification ne peut conduire à un niveau de sécurité inférieur à celui décrit à l’annexe 2. Toute modification substantielle est notifiée par écrit au Responsable du traitement avant sa mise en œuvre.</w:t>
      </w:r>
    </w:p>
    <w:p>
      <w:pPr>
        <w:spacing w:after="120"/>
      </w:pPr>
      <w:r>
        <w:t xml:space="preserve">5.3 Lorsque le traitement porte sur des catégories particulières de données ou sur des données relatives aux condamnations pénales et aux infractions, le Sous-traitant applique les limitations et garanties supplémentaires décrites à l’annexe 2.</w:t>
      </w:r>
    </w:p>
    <w:p>
      <w:pPr>
        <w:pStyle w:val="Heading2"/>
      </w:pPr>
      <w:r>
        <w:t xml:space="preserve">Article 6. Sous-traitants ultérieurs</w:t>
      </w:r>
    </w:p>
    <w:p>
      <w:pPr>
        <w:spacing w:after="120"/>
      </w:pPr>
      <w:r>
        <w:t xml:space="preserve">6.1 </w:t>
      </w:r>
      <w:r>
        <w:rPr>
          <w:highlight w:val="yellow"/>
          <w:highlightCs w:val="yellow"/>
        </w:rPr>
        <w:t xml:space="preserve">[OPTION A : autorisation spécifique]</w:t>
      </w:r>
      <w:r>
        <w:t xml:space="preserve"> Le Sous-traitant ne recrute aucun Sous-traitant ultérieur sans l’autorisation écrite, préalable et spécifique du Responsable du traitement. Les Sous-traitants ultérieurs autorisés à la signature figurent à l’annexe 3. Toute demande d’autorisation est adressée au moins </w:t>
      </w:r>
      <w:r>
        <w:rPr>
          <w:highlight w:val="yellow"/>
          <w:highlightCs w:val="yellow"/>
        </w:rPr>
        <w:t xml:space="preserve">[30]</w:t>
      </w:r>
      <w:r>
        <w:t xml:space="preserve"> jours avant le recrutement envisagé et précise la dénomination, l’adresse, le lieu de traitement, les activités confiées et les garanties du Sous-traitant ultérieur. En l’absence de réponse dans ce délai, l’autorisation est réputée refusée.</w:t>
      </w:r>
    </w:p>
    <w:p>
      <w:pPr>
        <w:spacing w:after="120"/>
      </w:pPr>
      <w:r>
        <w:t xml:space="preserve">6.1 </w:t>
      </w:r>
      <w:r>
        <w:rPr>
          <w:highlight w:val="yellow"/>
          <w:highlightCs w:val="yellow"/>
        </w:rPr>
        <w:t xml:space="preserve">[OPTION B : autorisation générale]</w:t>
      </w:r>
      <w:r>
        <w:t xml:space="preserve"> Le Responsable du traitement donne une autorisation écrite générale pour le recrutement des Sous-traitants ultérieurs figurant à l’annexe 3. Le Sous-traitant informe le Responsable du traitement par écrit, par courrier électronique adressé au contact désigné à l’annexe 5, de tout ajout ou remplacement envisagé au moins </w:t>
      </w:r>
      <w:r>
        <w:rPr>
          <w:highlight w:val="yellow"/>
          <w:highlightCs w:val="yellow"/>
        </w:rPr>
        <w:t xml:space="preserve">[30]</w:t>
      </w:r>
      <w:r>
        <w:t xml:space="preserve"> jours à l’avance, en précisant la dénomination, l’adresse, le lieu de traitement, les activités confiées et les garanties du Sous-traitant ultérieur. La seule publication d’une liste mise à jour sur un site internet ne vaut pas information. Le Responsable du traitement peut s’opposer au changement dans ce délai, de manière motivée. En cas d’objection, le changement ne prend pas effet et les Parties se concertent ; à défaut d’accord dans un délai de </w:t>
      </w:r>
      <w:r>
        <w:rPr>
          <w:highlight w:val="yellow"/>
          <w:highlightCs w:val="yellow"/>
        </w:rPr>
        <w:t xml:space="preserve">[60]</w:t>
      </w:r>
      <w:r>
        <w:t xml:space="preserve"> jours, le Responsable du traitement peut résilier tout ou partie du Contrat principal sans indemnité.</w:t>
      </w:r>
    </w:p>
    <w:p>
      <w:pPr>
        <w:spacing w:after="120"/>
      </w:pPr>
      <w:r>
        <w:t xml:space="preserve">6.2 Le Sous-traitant impose à chaque Sous-traitant ultérieur, par contrat, les mêmes obligations en matière de protection des données que celles prévues au présent contrat, en particulier l’obligation de présenter des garanties suffisantes quant à la mise en œuvre de mesures techniques et organisationnelles appropriées. Il en fournit copie au Responsable du traitement sur demande, le cas échéant expurgée des secrets d’affaires.</w:t>
      </w:r>
    </w:p>
    <w:p>
      <w:pPr>
        <w:spacing w:after="120"/>
      </w:pPr>
      <w:r>
        <w:t xml:space="preserve">6.3 Le Sous-traitant tient à jour et communique de sa propre initiative au Responsable du traitement l’identité (dénomination, adresse, personne de contact) de tous les Sous-traitants ultérieurs, à quelque niveau de la chaîne qu’ils interviennent, ainsi que la description des traitements qui leur sont confiés.</w:t>
      </w:r>
    </w:p>
    <w:p>
      <w:pPr>
        <w:spacing w:after="120"/>
      </w:pPr>
      <w:r>
        <w:t xml:space="preserve">6.4 Le Sous-traitant demeure pleinement responsable devant le Responsable du traitement de l’exécution par chaque Sous-traitant ultérieur de ses obligations. Il informe le Responsable du traitement de tout manquement d’un Sous-traitant ultérieur à ses obligations contractuelles.</w:t>
      </w:r>
    </w:p>
    <w:p>
      <w:pPr>
        <w:pStyle w:val="Heading2"/>
      </w:pPr>
      <w:r>
        <w:t xml:space="preserve">Article 7. Transferts de données hors de l’Union européenne</w:t>
      </w:r>
    </w:p>
    <w:p>
      <w:pPr>
        <w:spacing w:after="120"/>
      </w:pPr>
      <w:r>
        <w:t xml:space="preserve">7.1 Le Sous-traitant et ses Sous-traitants ultérieurs traitent les Données exclusivement dans l’Union européenne ou l’Espace économique européen, sauf si le transfert figure à l’annexe 4 ou a été autorisé au préalable et par écrit par le Responsable du traitement. Cette règle s’applique également à tout accès à distance depuis un pays tiers, notamment pour la maintenance ou le support.</w:t>
      </w:r>
    </w:p>
    <w:p>
      <w:pPr>
        <w:spacing w:after="120"/>
      </w:pPr>
      <w:r>
        <w:t xml:space="preserve">7.2 Tout transfert respecte le chapitre V du RGPD. L’annexe 4 précise, pour chaque transfert, le pays, le destinataire, l’outil de transfert retenu (décision d’adéquation, clauses contractuelles types adoptées par la Commission, règles d’entreprise contraignantes) et les mesures supplémentaires éventuelles.</w:t>
      </w:r>
    </w:p>
    <w:p>
      <w:pPr>
        <w:spacing w:after="120"/>
      </w:pPr>
      <w:r>
        <w:t xml:space="preserve">7.3 Le Sous-traitant fournit au Responsable du traitement les informations nécessaires à l’analyse d’impact des transferts, notamment sur la législation et les pratiques du pays de destination et sur les mesures mises en œuvre.</w:t>
      </w:r>
    </w:p>
    <w:p>
      <w:pPr>
        <w:spacing w:after="120"/>
      </w:pPr>
      <w:r>
        <w:t xml:space="preserve">7.4 Si les conditions d’un transfert évoluent, notamment à la suite d’une décision de justice, de l’adoption ou de l’abrogation d’une décision d’adéquation, le Sous-traitant prend sans délai les mesures nécessaires pour se conformer aux nouvelles exigences et en informe le Responsable du traitement. À défaut, le Responsable du traitement peut exiger la suspension du transfert ou résilier tout ou partie du Contrat principal.</w:t>
      </w:r>
    </w:p>
    <w:p>
      <w:pPr>
        <w:pStyle w:val="Heading2"/>
      </w:pPr>
      <w:r>
        <w:t xml:space="preserve">Article 8. Droits des personnes concernées</w:t>
      </w:r>
    </w:p>
    <w:p>
      <w:pPr>
        <w:spacing w:after="120"/>
      </w:pPr>
      <w:r>
        <w:t xml:space="preserve">8.1 Compte tenu de la nature du traitement, le Sous-traitant aide le Responsable du traitement, par des mesures techniques et organisationnelles appropriées, dans toute la mesure du possible, à s’acquitter de son obligation de donner suite aux demandes d’exercice des droits prévus au chapitre III du RGPD : droit d’accès, de rectification, d’effacement, d’opposition, droit à la limitation du traitement, droit à la portabilité des données et droit de ne pas faire l’objet d’une décision individuelle automatisée.</w:t>
      </w:r>
    </w:p>
    <w:p>
      <w:pPr>
        <w:spacing w:after="120"/>
      </w:pPr>
      <w:r>
        <w:t xml:space="preserve">8.2 Lorsque le Sous-traitant reçoit directement une demande d’une personne concernée, il la transmet au Responsable du traitement dans un délai de </w:t>
      </w:r>
      <w:r>
        <w:rPr>
          <w:highlight w:val="yellow"/>
          <w:highlightCs w:val="yellow"/>
        </w:rPr>
        <w:t xml:space="preserve">[2]</w:t>
      </w:r>
      <w:r>
        <w:t xml:space="preserve"> jours ouvrés, par courrier électronique adressé au contact désigné à l’annexe 5, et n’y donne pas suite lui-même sauf instruction du Responsable du traitement.</w:t>
      </w:r>
    </w:p>
    <w:p>
      <w:pPr>
        <w:spacing w:after="120"/>
      </w:pPr>
      <w:r>
        <w:t xml:space="preserve">8.3 </w:t>
      </w:r>
      <w:r>
        <w:rPr>
          <w:highlight w:val="yellow"/>
          <w:highlightCs w:val="yellow"/>
        </w:rPr>
        <w:t xml:space="preserve">[OPTION : information des personnes]</w:t>
      </w:r>
      <w:r>
        <w:t xml:space="preserve"> Il appartient au Responsable du traitement de fournir l’information prévue aux articles 13 et 14 du RGPD. Le Sous-traitant lui communique les éléments nécessaires à cette information, notamment sur les lieux de traitement et les Sous-traitants ultérieurs.</w:t>
      </w:r>
    </w:p>
    <w:p>
      <w:pPr>
        <w:pStyle w:val="Heading2"/>
      </w:pPr>
      <w:r>
        <w:t xml:space="preserve">Article 9. Notification des violations de données à caractère personnel</w:t>
      </w:r>
    </w:p>
    <w:p>
      <w:pPr>
        <w:spacing w:after="120"/>
      </w:pPr>
      <w:r>
        <w:t xml:space="preserve">9.1 Le Sous-traitant notifie au Responsable du traitement toute violation de données à caractère personnel, ou tout soupçon raisonnable de violation, dans les meilleurs délais et au plus tard </w:t>
      </w:r>
      <w:r>
        <w:rPr>
          <w:highlight w:val="yellow"/>
          <w:highlightCs w:val="yellow"/>
        </w:rPr>
        <w:t xml:space="preserve">[24]</w:t>
      </w:r>
      <w:r>
        <w:t xml:space="preserve"> heures après en avoir pris connaissance, y compris lorsque la violation survient chez un Sous-traitant ultérieur. La notification est adressée au contact désigné à l’annexe 5, par courrier électronique et par téléphone.</w:t>
      </w:r>
    </w:p>
    <w:p>
      <w:pPr>
        <w:spacing w:after="120"/>
      </w:pPr>
      <w:r>
        <w:t xml:space="preserve">9.2 La notification contient au moins : la description de la nature de la violation, y compris, si possible, les catégories et le nombre approximatif de personnes concernées et d’enregistrements de données concernés ; le nom et les coordonnées d’un point de contact ; les conséquences probables de la violation ; les mesures prises ou proposées pour y remédier et, le cas échéant, pour en atténuer les conséquences négatives. Si toutes ces informations ne peuvent être fournies en même temps, elles sont communiquées de manière échelonnée, sans autre retard indu.</w:t>
      </w:r>
    </w:p>
    <w:p>
      <w:pPr>
        <w:spacing w:after="120"/>
      </w:pPr>
      <w:r>
        <w:t xml:space="preserve">9.3 Le Sous-traitant prend sans délai les mesures nécessaires pour contenir la violation et aide le Responsable du traitement à notifier la violation à la CNIL et, le cas échéant, à la communiquer aux personnes concernées. Il ne procède à aucune notification à l’autorité de contrôle ni aux personnes concernées au nom du Responsable du traitement sans instruction écrite de celui-ci.</w:t>
      </w:r>
    </w:p>
    <w:p>
      <w:pPr>
        <w:spacing w:after="120"/>
      </w:pPr>
      <w:r>
        <w:t xml:space="preserve">9.4 Le Sous-traitant documente toute violation concernant les Données et tient cette documentation à la disposition du Responsable du traitement.</w:t>
      </w:r>
    </w:p>
    <w:p>
      <w:pPr>
        <w:pStyle w:val="Heading2"/>
      </w:pPr>
      <w:r>
        <w:t xml:space="preserve">Article 10. Aide au respect des obligations du Responsable du traitement</w:t>
      </w:r>
    </w:p>
    <w:p>
      <w:pPr>
        <w:spacing w:after="120"/>
      </w:pPr>
      <w:r>
        <w:t xml:space="preserve">10.1 Compte tenu de la nature du traitement et des informations dont il dispose, le Sous-traitant aide le Responsable du traitement à garantir le respect des obligations prévues aux articles 32 à 36 du RGPD, notamment pour la réalisation d’analyses d’impact relatives à la protection des données (AIPD) et pour la consultation préalable de la CNIL.</w:t>
      </w:r>
    </w:p>
    <w:p>
      <w:pPr>
        <w:spacing w:after="120"/>
      </w:pPr>
      <w:r>
        <w:t xml:space="preserve">10.2 À cette fin, le Sous-traitant répond dans un délai de </w:t>
      </w:r>
      <w:r>
        <w:rPr>
          <w:highlight w:val="yellow"/>
          <w:highlightCs w:val="yellow"/>
        </w:rPr>
        <w:t xml:space="preserve">[10]</w:t>
      </w:r>
      <w:r>
        <w:t xml:space="preserve"> jours ouvrés aux demandes raisonnables d’information portant notamment sur le fonctionnement du service, les flux de données, les lieux de traitement, les Sous-traitants ultérieurs, les durées de conservation et les fonctionnalités reposant sur l’intelligence artificielle.</w:t>
      </w:r>
    </w:p>
    <w:p>
      <w:pPr>
        <w:pStyle w:val="Heading2"/>
      </w:pPr>
      <w:r>
        <w:t xml:space="preserve">Article 11. Documentation et audits</w:t>
      </w:r>
    </w:p>
    <w:p>
      <w:pPr>
        <w:spacing w:after="120"/>
      </w:pPr>
      <w:r>
        <w:t xml:space="preserve">11.1 Le Sous-traitant met à la disposition du Responsable du traitement toutes les informations nécessaires pour démontrer le respect des obligations prévues à l’article 28 du RGPD et au présent contrat, y compris la partie de son registre des activités de traitement (article 30, paragraphe 2, du RGPD) qui concerne le Responsable du traitement.</w:t>
      </w:r>
    </w:p>
    <w:p>
      <w:pPr>
        <w:spacing w:after="120"/>
      </w:pPr>
      <w:r>
        <w:t xml:space="preserve">11.2 Sur demande et au moins </w:t>
      </w:r>
      <w:r>
        <w:rPr>
          <w:highlight w:val="yellow"/>
          <w:highlightCs w:val="yellow"/>
        </w:rPr>
        <w:t xml:space="preserve">[une fois par an]</w:t>
      </w:r>
      <w:r>
        <w:t xml:space="preserve">, le Sous-traitant communique un rapport d’audit ou un certificat récent émanant d’un tiers indépendant, avec son périmètre, par exemple un certificat ISO/IEC 27001 accompagné de la déclaration d’applicabilité ou un rapport ISAE 3402 ou SOC 2 de type II.</w:t>
      </w:r>
    </w:p>
    <w:p>
      <w:pPr>
        <w:spacing w:after="120"/>
      </w:pPr>
      <w:r>
        <w:t xml:space="preserve">11.3 Le Sous-traitant permet la réalisation d’audits, y compris des inspections, par le Responsable du traitement ou un autre auditeur qu’il a mandaté, et contribue à ces audits. Sauf soupçon de manquement grave, le Responsable du traitement informe le Sous-traitant au moins </w:t>
      </w:r>
      <w:r>
        <w:rPr>
          <w:highlight w:val="yellow"/>
          <w:highlightCs w:val="yellow"/>
        </w:rPr>
        <w:t xml:space="preserve">[15]</w:t>
      </w:r>
      <w:r>
        <w:t xml:space="preserve"> jours à l’avance. L’audit est conduit de manière à ne pas perturber de façon excessive l’activité du Sous-traitant, et les informations obtenues sont traitées de manière confidentielle.</w:t>
      </w:r>
    </w:p>
    <w:p>
      <w:pPr>
        <w:spacing w:after="120"/>
      </w:pPr>
      <w:r>
        <w:t xml:space="preserve">11.4 Chaque Partie supporte ses propres frais d’audit. Si l’audit révèle un manquement du Sous-traitant, celui-ci supporte les frais de l’audit et remédie au manquement à ses frais dans un délai raisonnable. Le Sous-traitant ne peut facturer de frais d’un montant de nature à dissuader le Responsable du traitement d’exercer son droit d’audit.</w:t>
      </w:r>
    </w:p>
    <w:p>
      <w:pPr>
        <w:pStyle w:val="Heading2"/>
      </w:pPr>
      <w:r>
        <w:t xml:space="preserve">Article 12. Demandes d’accès émanant d’autorités publiques</w:t>
      </w:r>
    </w:p>
    <w:p>
      <w:pPr>
        <w:spacing w:after="120"/>
      </w:pPr>
      <w:r>
        <w:t xml:space="preserve">12.1 Le Sous-traitant informe immédiatement le Responsable du traitement de toute demande ou injonction d’une autorité publique visant à obtenir la communication de Données, sauf si la loi le lui interdit.</w:t>
      </w:r>
    </w:p>
    <w:p>
      <w:pPr>
        <w:spacing w:after="120"/>
      </w:pPr>
      <w:r>
        <w:t xml:space="preserve">12.2 Lorsque la demande émane d’une autorité ou d’une juridiction d’un pays tiers, le Sous-traitant n’y donne suite qu’après en avoir vérifié la légalité, s’être concerté avec le Responsable du traitement dans la mesure où cela est permis, et avoir exercé les voies de recours raisonnablement disponibles. Il ne communique que les Données strictement nécessaires.</w:t>
      </w:r>
    </w:p>
    <w:p>
      <w:pPr>
        <w:pStyle w:val="Heading2"/>
      </w:pPr>
      <w:r>
        <w:t xml:space="preserve">Article 13. Sort des données en fin de contrat</w:t>
      </w:r>
    </w:p>
    <w:p>
      <w:pPr>
        <w:spacing w:after="120"/>
      </w:pPr>
      <w:r>
        <w:t xml:space="preserve">13.1 Au terme de la prestation de services relatifs au traitement, et selon le choix du Responsable du traitement : </w:t>
      </w:r>
      <w:r>
        <w:rPr>
          <w:highlight w:val="yellow"/>
          <w:highlightCs w:val="yellow"/>
        </w:rPr>
        <w:t xml:space="preserve">[OPTION 1 : le Sous-traitant supprime toutes les Données]</w:t>
      </w:r>
      <w:r>
        <w:t xml:space="preserve"> </w:t>
      </w:r>
      <w:r>
        <w:rPr>
          <w:highlight w:val="yellow"/>
          <w:highlightCs w:val="yellow"/>
        </w:rPr>
        <w:t xml:space="preserve">[OPTION 2 : le Sous-traitant restitue toutes les Données au Responsable du traitement]</w:t>
      </w:r>
      <w:r>
        <w:t xml:space="preserve"> </w:t>
      </w:r>
      <w:r>
        <w:rPr>
          <w:highlight w:val="yellow"/>
          <w:highlightCs w:val="yellow"/>
        </w:rPr>
        <w:t xml:space="preserve">[OPTION 3 : le Sous-traitant restitue toutes les Données au tiers désigné par le Responsable du traitement]</w:t>
      </w:r>
      <w:r>
        <w:t xml:space="preserve">, dans un délai de </w:t>
      </w:r>
      <w:r>
        <w:rPr>
          <w:highlight w:val="yellow"/>
          <w:highlightCs w:val="yellow"/>
        </w:rPr>
        <w:t xml:space="preserve">[30]</w:t>
      </w:r>
      <w:r>
        <w:t xml:space="preserve"> jours, y compris chez ses Sous-traitants ultérieurs. Le Responsable du traitement peut modifier son choix par écrit jusqu’au terme de la prestation.</w:t>
      </w:r>
    </w:p>
    <w:p>
      <w:pPr>
        <w:spacing w:after="120"/>
      </w:pPr>
      <w:r>
        <w:t xml:space="preserve">13.2 La restitution s’effectue dans un format structuré, couramment utilisé et lisible par machine, </w:t>
      </w:r>
      <w:r>
        <w:rPr>
          <w:highlight w:val="yellow"/>
          <w:highlightCs w:val="yellow"/>
        </w:rPr>
        <w:t xml:space="preserve">[préciser le format]</w:t>
      </w:r>
      <w:r>
        <w:t xml:space="preserve">. Elle s’accompagne de la destruction de toutes les copies existantes dans les systèmes d’information du Sous-traitant.</w:t>
      </w:r>
    </w:p>
    <w:p>
      <w:pPr>
        <w:spacing w:after="120"/>
      </w:pPr>
      <w:r>
        <w:t xml:space="preserve">13.3 La suppression est réalisée de manière sécurisée, rendant impossible toute reconstitution raisonnable des Données. Les sauvegardes sont détruites au plus tard </w:t>
      </w:r>
      <w:r>
        <w:rPr>
          <w:highlight w:val="yellow"/>
          <w:highlightCs w:val="yellow"/>
        </w:rPr>
        <w:t xml:space="preserve">[délai]</w:t>
      </w:r>
      <w:r>
        <w:t xml:space="preserve"> après le terme de la prestation. Le Sous-traitant justifie par écrit de la destruction.</w:t>
      </w:r>
    </w:p>
    <w:p>
      <w:pPr>
        <w:spacing w:after="120"/>
      </w:pPr>
      <w:r>
        <w:t xml:space="preserve">13.4 Lorsque le droit de l’Union ou le droit d’un État membre impose au Sous-traitant de conserver certaines Données, il en informe le Responsable du traitement en précisant les Données concernées, le fondement et la durée de conservation. Le présent contrat continue de s’appliquer à ces Données.</w:t>
      </w:r>
    </w:p>
    <w:p>
      <w:pPr>
        <w:pStyle w:val="Heading2"/>
      </w:pPr>
      <w:r>
        <w:t xml:space="preserve">Article 14. Registre et délégué à la protection des données</w:t>
      </w:r>
    </w:p>
    <w:p>
      <w:pPr>
        <w:spacing w:after="120"/>
      </w:pPr>
      <w:r>
        <w:t xml:space="preserve">14.1 Le Sous-traitant tient par écrit un registre de toutes les catégories d’activités de traitement effectuées pour le compte du Responsable du traitement, conformément à l’article 30, paragraphe 2, du RGPD.</w:t>
      </w:r>
    </w:p>
    <w:p>
      <w:pPr>
        <w:spacing w:after="120"/>
      </w:pPr>
      <w:r>
        <w:t xml:space="preserve">14.2 Le Sous-traitant communique au Responsable du traitement le nom et les coordonnées de son délégué à la protection des données, s’il en a désigné un conformément à l’article 37 du RGPD, ou à défaut d’un point de contact pour la protection des données (annexe 5).</w:t>
      </w:r>
    </w:p>
    <w:p>
      <w:pPr>
        <w:pStyle w:val="Heading2"/>
      </w:pPr>
      <w:r>
        <w:t xml:space="preserve">Article 15. Obligations du Responsable du traitement</w:t>
      </w:r>
    </w:p>
    <w:p>
      <w:pPr>
        <w:spacing w:after="120"/>
      </w:pPr>
      <w:r>
        <w:t xml:space="preserve">Le Responsable du traitement s’engage à : fournir au Sous-traitant les Données décrites à l’annexe 1 ; documenter par écrit toute instruction concernant le traitement ; veiller, au préalable et pendant toute la durée du traitement, au respect des obligations prévues par le RGPD de la part du Sous-traitant ; superviser le traitement, y compris par la réalisation d’audits et d’inspections.</w:t>
      </w:r>
    </w:p>
    <w:p>
      <w:pPr>
        <w:pStyle w:val="Heading2"/>
      </w:pPr>
      <w:r>
        <w:t xml:space="preserve">Article 16. Responsabilité</w:t>
      </w:r>
    </w:p>
    <w:p>
      <w:pPr>
        <w:spacing w:after="120"/>
      </w:pPr>
      <w:r>
        <w:t xml:space="preserve">16.1 </w:t>
      </w:r>
      <w:r>
        <w:rPr>
          <w:highlight w:val="yellow"/>
          <w:highlightCs w:val="yellow"/>
        </w:rPr>
        <w:t xml:space="preserve">[OPTION A]</w:t>
      </w:r>
      <w:r>
        <w:t xml:space="preserve"> Les stipulations du Contrat principal relatives à la responsabilité s’appliquent, étant précisé que les plafonds ou exclusions de responsabilité qu’il prévoit ne s’appliquent pas aux dommages résultant d’un manquement du Sous-traitant ou de ses Sous-traitants ultérieurs au présent contrat ou au RGPD, y compris les amendes administratives et les indemnisations versées aux personnes concernées. </w:t>
      </w:r>
      <w:r>
        <w:rPr>
          <w:highlight w:val="yellow"/>
          <w:highlightCs w:val="yellow"/>
        </w:rPr>
        <w:t xml:space="preserve">[OPTION B]</w:t>
      </w:r>
      <w:r>
        <w:t xml:space="preserve"> La responsabilité du Sous-traitant au titre du présent contrat est plafonnée à </w:t>
      </w:r>
      <w:r>
        <w:rPr>
          <w:highlight w:val="yellow"/>
          <w:highlightCs w:val="yellow"/>
        </w:rPr>
        <w:t xml:space="preserve">[montant]</w:t>
      </w:r>
      <w:r>
        <w:t xml:space="preserve"> par sinistre. Le Sous-traitant justifie d’une assurance couvrant ce risque.</w:t>
      </w:r>
    </w:p>
    <w:p>
      <w:pPr>
        <w:spacing w:after="120"/>
      </w:pPr>
      <w:r>
        <w:t xml:space="preserve">16.2 Les dispositions de l’article 82 du RGPD relatives à la responsabilité à l’égard des personnes concernées s’appliquent sans préjudice de ce qui précède.</w:t>
      </w:r>
    </w:p>
    <w:p>
      <w:pPr>
        <w:pStyle w:val="Heading2"/>
      </w:pPr>
      <w:r>
        <w:t xml:space="preserve">Article 17. Suspension et résiliation</w:t>
      </w:r>
    </w:p>
    <w:p>
      <w:pPr>
        <w:spacing w:after="120"/>
      </w:pPr>
      <w:r>
        <w:t xml:space="preserve">17.1 En cas de manquement du Sous-traitant au présent contrat, le Responsable du traitement peut lui donner instruction de suspendre le traitement jusqu’à ce qu’il se soit mis en conformité.</w:t>
      </w:r>
    </w:p>
    <w:p>
      <w:pPr>
        <w:spacing w:after="120"/>
      </w:pPr>
      <w:r>
        <w:t xml:space="preserve">17.2 Le Responsable du traitement peut résilier le présent contrat et la partie concernée du Contrat principal si le Sous-traitant ne s’est pas mis en conformité dans un délai de </w:t>
      </w:r>
      <w:r>
        <w:rPr>
          <w:highlight w:val="yellow"/>
          <w:highlightCs w:val="yellow"/>
        </w:rPr>
        <w:t xml:space="preserve">[30]</w:t>
      </w:r>
      <w:r>
        <w:t xml:space="preserve"> jours suivant une mise en demeure, ou en cas de manquement grave ou persistant.</w:t>
      </w:r>
    </w:p>
    <w:p>
      <w:pPr>
        <w:pStyle w:val="Heading2"/>
      </w:pPr>
      <w:r>
        <w:t xml:space="preserve">Article 18. Modification, droit applicable et juridiction</w:t>
      </w:r>
    </w:p>
    <w:p>
      <w:pPr>
        <w:spacing w:after="120"/>
      </w:pPr>
      <w:r>
        <w:t xml:space="preserve">18.1 Toute modification du présent contrat fait l’objet d’un avenant écrit signé par les deux Parties. La mise à jour des annexes 3 et 4 selon la procédure de l’article 6 ne requiert pas d’avenant.</w:t>
      </w:r>
    </w:p>
    <w:p>
      <w:pPr>
        <w:spacing w:after="120"/>
      </w:pPr>
      <w:r>
        <w:t xml:space="preserve">18.2 Si une stipulation du présent contrat est déclarée nulle, les autres stipulations demeurent en vigueur. Les Parties remplacent la stipulation concernée par une stipulation valable aussi proche que possible de l’intention initiale.</w:t>
      </w:r>
    </w:p>
    <w:p>
      <w:pPr>
        <w:spacing w:after="120"/>
      </w:pPr>
      <w:r>
        <w:t xml:space="preserve">18.3 Le présent contrat est soumis au droit français. Tout litige relatif à son interprétation ou à son exécution relève de la compétence de </w:t>
      </w:r>
      <w:r>
        <w:rPr>
          <w:highlight w:val="yellow"/>
          <w:highlightCs w:val="yellow"/>
        </w:rPr>
        <w:t xml:space="preserve">[la juridiction compétente pour le Contrat principal]</w:t>
      </w:r>
      <w:r>
        <w:t xml:space="preserve">.</w:t>
      </w:r>
    </w:p>
    <w:p>
      <w:pPr>
        <w:spacing w:after="120"/>
      </w:pPr>
      <w:r>
        <w:t xml:space="preserve">Fait à </w:t>
      </w:r>
      <w:r>
        <w:rPr>
          <w:highlight w:val="yellow"/>
          <w:highlightCs w:val="yellow"/>
        </w:rPr>
        <w:t xml:space="preserve">[lieu]</w:t>
      </w:r>
      <w:r>
        <w:t xml:space="preserve">, le </w:t>
      </w:r>
      <w:r>
        <w:rPr>
          <w:highlight w:val="yellow"/>
          <w:highlightCs w:val="yellow"/>
        </w:rPr>
        <w:t xml:space="preserve">[date]</w:t>
      </w:r>
      <w:r>
        <w:t xml:space="preserve">, en deux exemplaires originaux ou par signature électronique.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4513"/>
        <w:gridCol w:w="4513"/>
      </w:tblGrid>
      <w:tr>
        <w:trPr>
          <w:tblHeader/>
        </w:trPr>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Pour le Responsable du traitement</w:t>
            </w:r>
          </w:p>
        </w:tc>
        <w:tc>
          <w:tcPr>
            <w:tcW w:type="dxa" w:w="451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Pour le Sous-traitant</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Nom : </w:t>
            </w:r>
            <w:r>
              <w:rPr>
                <w:highlight w:val="yellow"/>
                <w:highlightCs w:val="yellow"/>
              </w:rPr>
              <w:t xml:space="preserve">[nom]</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Nom : </w:t>
            </w:r>
            <w:r>
              <w:rPr>
                <w:highlight w:val="yellow"/>
                <w:highlightCs w:val="yellow"/>
              </w:rPr>
              <w:t xml:space="preserve">[nom]</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Qualité : </w:t>
            </w:r>
            <w:r>
              <w:rPr>
                <w:highlight w:val="yellow"/>
                <w:highlightCs w:val="yellow"/>
              </w:rPr>
              <w:t xml:space="preserve">[qualité]</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Qualité : </w:t>
            </w:r>
            <w:r>
              <w:rPr>
                <w:highlight w:val="yellow"/>
                <w:highlightCs w:val="yellow"/>
              </w:rPr>
              <w:t xml:space="preserve">[qualité]</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Date : </w:t>
            </w:r>
            <w:r>
              <w:rPr>
                <w:highlight w:val="yellow"/>
                <w:highlightCs w:val="yellow"/>
              </w:rPr>
              <w:t xml:space="preserve">[date]</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Date : </w:t>
            </w:r>
            <w:r>
              <w:rPr>
                <w:highlight w:val="yellow"/>
                <w:highlightCs w:val="yellow"/>
              </w:rPr>
              <w:t xml:space="preserve">[date]</w:t>
            </w:r>
          </w:p>
        </w:tc>
      </w:tr>
      <w:tr>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Signature :</w:t>
            </w:r>
          </w:p>
        </w:tc>
        <w:tc>
          <w:tcPr>
            <w:tcW w:type="dxa" w:w="4513"/>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Signature :</w:t>
            </w:r>
          </w:p>
        </w:tc>
      </w:tr>
    </w:tbl>
    <w:p/>
    <w:p>
      <w:pPr>
        <w:pStyle w:val="Heading1"/>
      </w:pPr>
      <w:r>
        <w:t xml:space="preserve">Annexe 1. Description du traitement</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Élément</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Description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Objet du traitement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[Par exemple : mise à disposition d’une plateforme d’enquêtes en ligne pour les enquêtes de satisfaction et les recherches menées par les personnels de l’établissement]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Durée du traitement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[Durée du Contrat principal, puis délai de restitution ou de suppression prévu à l’article 13]</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Nature des opérations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[Collecte, enregistrement, hébergement, consultation, analyse, export, sauvegarde, suppression]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Finalité(s)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[Finalités précises poursuivies par le Responsable du traitement]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Catégories de personnes concernées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[Étudiants, candidats, personnels, participants à une recherche, intervenants extérieurs]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Catégories de données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[Identité, coordonnées, identifiants de connexion, réponses aux questionnaires, données de connexion et journaux techniques]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Catégories particulières de données (art. 9) ou données d’infraction (art. 10)</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[Néant / préciser, avec les garanties supplémentaires décrites à l’annexe 2]</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Lieux de traitement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[Pays et, le cas échéant, centres de données, y compris lieux d’accès à distance]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Durées de conservation pendant le contrat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[Durées ou critères, en cohérence avec le registre des activités de traitement]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Usages propres du Sous-traitant autorisés (article 3.2 du contrat)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[Aucun / description précise]</w:t>
            </w:r>
          </w:p>
        </w:tc>
      </w:tr>
    </w:tbl>
    <w:p/>
    <w:p>
      <w:pPr>
        <w:pStyle w:val="Heading1"/>
      </w:pPr>
      <w:r>
        <w:t xml:space="preserve">Annexe 2. Mesures techniques et organisationnelles de sécurité</w:t>
      </w:r>
    </w:p>
    <w:p>
      <w:pPr>
        <w:pBdr>
          <w:left w:val="single" w:color="F59E0B" w:sz="18" w:space="8"/>
        </w:pBdr>
        <w:shd w:fill="FFFBEB" w:color="auto" w:val="clear"/>
        <w:spacing w:after="160" w:before="120"/>
      </w:pPr>
      <w:r>
        <w:rPr>
          <w:i/>
          <w:iCs/>
        </w:rPr>
        <w:t xml:space="preserve">Décrivez les mesures de façon concrète et non générique. Un simple renvoi à une page « sécurité » du prestataire, modifiable unilatéralement, ne suffit pas.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159"/>
        <w:gridCol w:w="5867"/>
      </w:tblGrid>
      <w:tr>
        <w:trPr>
          <w:tblHeader/>
        </w:trPr>
        <w:tc>
          <w:tcPr>
            <w:tcW w:type="dxa" w:w="315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Domaine</w:t>
            </w:r>
          </w:p>
        </w:tc>
        <w:tc>
          <w:tcPr>
            <w:tcW w:type="dxa" w:w="586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Mesures mises en œuvre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Gouvernance et certifications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[Politique de sécurité, responsable de la sécurité, certifications avec périmètre et date de validité]</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Contrôle d’accès et authentification</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[Gestion des habilitations, authentification multifacteur pour les administrateurs, revue périodique des droits]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Chiffrement</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[Chiffrement en transit et au repos, gestion des clés, localisation des clés]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Journalisation et surveillance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[Traçabilité des accès et des actions, durée de conservation des journaux, détection des incidents]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Cloisonnement et sauvegardes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[Séparation des données des clients, fréquence et localisation des sauvegardes, tests de restauration]</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Continuité et résilience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[Plan de continuité, objectifs de reprise]</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Développement et gestion des vulnérabilités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[Sécurité dès la conception, tests d’intrusion, correctifs]</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Personnel</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[Engagements de confidentialité, sensibilisation, procédure de départ]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Garanties pour les données sensibles</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[Limitation stricte des accès, pseudonymisation, journalisation renforcée, le cas échéant]</w:t>
            </w:r>
          </w:p>
        </w:tc>
      </w:tr>
      <w:tr>
        <w:tc>
          <w:tcPr>
            <w:tcW w:type="dxa" w:w="315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Suppression sécurisée</w:t>
            </w:r>
          </w:p>
        </w:tc>
        <w:tc>
          <w:tcPr>
            <w:tcW w:type="dxa" w:w="586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[Méthodes d’effacement, délai de purge des sauvegardes]</w:t>
            </w:r>
          </w:p>
        </w:tc>
      </w:tr>
    </w:tbl>
    <w:p/>
    <w:p>
      <w:pPr>
        <w:pStyle w:val="Heading1"/>
      </w:pPr>
      <w:r>
        <w:t xml:space="preserve">Annexe 3. Sous-traitants ultérieurs autorisés</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2708"/>
        <w:gridCol w:w="2257"/>
        <w:gridCol w:w="1805"/>
        <w:gridCol w:w="2257"/>
      </w:tblGrid>
      <w:tr>
        <w:trPr>
          <w:tblHeader/>
        </w:trPr>
        <w:tc>
          <w:tcPr>
            <w:tcW w:type="dxa" w:w="270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Dénomination et adresse</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Activité confiée</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Lieu de traitement et d’accès</w:t>
            </w:r>
          </w:p>
        </w:tc>
        <w:tc>
          <w:tcPr>
            <w:tcW w:type="dxa" w:w="225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Outil de transfert (le cas échéant)</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 adresse, personne de contact]</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[Hébergement, support, envoi de courriels, service d’IA]</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[Pays]</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[Néant / décision d’adéquation / clauses contractuelles types, module 3]</w:t>
            </w:r>
          </w:p>
        </w:tc>
      </w:tr>
      <w:tr>
        <w:tc>
          <w:tcPr>
            <w:tcW w:type="dxa" w:w="270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c>
          <w:tcPr>
            <w:tcW w:type="dxa" w:w="225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w:t>
            </w:r>
          </w:p>
        </w:tc>
      </w:tr>
    </w:tbl>
    <w:p/>
    <w:p>
      <w:pPr>
        <w:pStyle w:val="Heading1"/>
      </w:pPr>
      <w:r>
        <w:t xml:space="preserve">Annexe 4. Transferts hors de l’Union européenne</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1805"/>
        <w:gridCol w:w="1173"/>
        <w:gridCol w:w="1805"/>
        <w:gridCol w:w="2437"/>
        <w:gridCol w:w="1805"/>
      </w:tblGrid>
      <w:tr>
        <w:trPr>
          <w:tblHeader/>
        </w:trPr>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Destinataire</w:t>
            </w:r>
          </w:p>
        </w:tc>
        <w:tc>
          <w:tcPr>
            <w:tcW w:type="dxa" w:w="1173"/>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Pays</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Données concernées</w:t>
            </w:r>
          </w:p>
        </w:tc>
        <w:tc>
          <w:tcPr>
            <w:tcW w:type="dxa" w:w="2437"/>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Outil de transfert</w:t>
            </w:r>
          </w:p>
        </w:tc>
        <w:tc>
          <w:tcPr>
            <w:tcW w:type="dxa" w:w="1805"/>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Mesures supplémentaires</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[Pays]</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[Catégories]</w:t>
            </w:r>
          </w:p>
        </w:tc>
        <w:tc>
          <w:tcPr>
            <w:tcW w:type="dxa" w:w="2437"/>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[Décision d’adéquation / clauses contractuelles types de la décision 2021/914 (module) / règles d’entreprise contraignantes]</w:t>
            </w: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[Chiffrement avec clés détenues dans l’UE, pseudonymisation, etc.]</w:t>
            </w:r>
          </w:p>
        </w:tc>
      </w:tr>
      <w:tr>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[Aucun transfert : indiquer « néant »]</w:t>
            </w:r>
          </w:p>
        </w:tc>
        <w:tc>
          <w:tcPr>
            <w:tcW w:type="dxa" w:w="1173"/>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2437"/>
            <w:tcBorders>
              <w:top w:val="single" w:color="BFC7D5" w:sz="4"/>
              <w:left w:val="single" w:color="BFC7D5" w:sz="4"/>
              <w:bottom w:val="single" w:color="BFC7D5" w:sz="4"/>
              <w:right w:val="single" w:color="BFC7D5" w:sz="4"/>
            </w:tcBorders>
            <w:tcMar>
              <w:top w:type="dxa" w:w="80"/>
              <w:left w:type="dxa" w:w="120"/>
              <w:bottom w:type="dxa" w:w="80"/>
              <w:right w:type="dxa" w:w="120"/>
            </w:tcMar>
          </w:tcPr>
          <w:p/>
        </w:tc>
        <w:tc>
          <w:tcPr>
            <w:tcW w:type="dxa" w:w="1805"/>
            <w:tcBorders>
              <w:top w:val="single" w:color="BFC7D5" w:sz="4"/>
              <w:left w:val="single" w:color="BFC7D5" w:sz="4"/>
              <w:bottom w:val="single" w:color="BFC7D5" w:sz="4"/>
              <w:right w:val="single" w:color="BFC7D5" w:sz="4"/>
            </w:tcBorders>
            <w:tcMar>
              <w:top w:type="dxa" w:w="80"/>
              <w:left w:type="dxa" w:w="120"/>
              <w:bottom w:type="dxa" w:w="80"/>
              <w:right w:type="dxa" w:w="120"/>
            </w:tcMar>
          </w:tcPr>
          <w:p/>
        </w:tc>
      </w:tr>
    </w:tbl>
    <w:p/>
    <w:p>
      <w:pPr>
        <w:pStyle w:val="Heading1"/>
      </w:pPr>
      <w:r>
        <w:t xml:space="preserve">Annexe 5. Contacts et procédure de notification</w:t>
      </w:r>
    </w:p>
    <w:tbl>
      <w:tblPr>
        <w:tblW w:type="dxa" w:w="9026"/>
        <w:tblBorders>
          <w:top w:val="single" w:color="auto" w:sz="4"/>
          <w:left w:val="single" w:color="auto" w:sz="4"/>
          <w:bottom w:val="single" w:color="auto" w:sz="4"/>
          <w:right w:val="single" w:color="auto" w:sz="4"/>
          <w:insideH w:val="single" w:color="auto" w:sz="4"/>
          <w:insideV w:val="single" w:color="auto" w:sz="4"/>
        </w:tblBorders>
      </w:tblPr>
      <w:tblGrid>
        <w:gridCol w:w="3249"/>
        <w:gridCol w:w="2888"/>
        <w:gridCol w:w="2888"/>
      </w:tblGrid>
      <w:tr>
        <w:trPr>
          <w:tblHeader/>
        </w:trPr>
        <w:tc>
          <w:tcPr>
            <w:tcW w:type="dxa" w:w="3249"/>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Rôle</w:t>
            </w:r>
          </w:p>
        </w:tc>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Responsable du traitement</w:t>
            </w:r>
          </w:p>
        </w:tc>
        <w:tc>
          <w:tcPr>
            <w:tcW w:type="dxa" w:w="2888"/>
            <w:tcBorders>
              <w:top w:val="single" w:color="BFC7D5" w:sz="4"/>
              <w:left w:val="single" w:color="BFC7D5" w:sz="4"/>
              <w:bottom w:val="single" w:color="BFC7D5" w:sz="4"/>
              <w:right w:val="single" w:color="BFC7D5" w:sz="4"/>
            </w:tcBorders>
            <w:shd w:fill="E2E8F0" w:color="auto" w:val="clear"/>
            <w:tcMar>
              <w:top w:type="dxa" w:w="80"/>
              <w:left w:type="dxa" w:w="120"/>
              <w:bottom w:type="dxa" w:w="80"/>
              <w:right w:type="dxa" w:w="120"/>
            </w:tcMar>
          </w:tcPr>
          <w:p>
            <w:r>
              <w:rPr>
                <w:b/>
                <w:bCs/>
              </w:rPr>
              <w:t xml:space="preserve">Sous-traitant</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Délégué à la protection des données</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 courriel, téléphone]</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 courriel, téléphone]</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Contact pour les violations de données (joignable 24 h sur 24)</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[Courriel, téléphone]</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[Courriel, téléphone]</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Contact pour les demandes d’exercice des droits</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[Courriel]</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[Courriel]</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Contact pour les changements de sous-traitants ultérieurs</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[Courriel]</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[Courriel]</w:t>
            </w:r>
          </w:p>
        </w:tc>
      </w:tr>
      <w:tr>
        <w:tc>
          <w:tcPr>
            <w:tcW w:type="dxa" w:w="3249"/>
            <w:tcBorders>
              <w:top w:val="single" w:color="BFC7D5" w:sz="4"/>
              <w:left w:val="single" w:color="BFC7D5" w:sz="4"/>
              <w:bottom w:val="single" w:color="BFC7D5" w:sz="4"/>
              <w:right w:val="single" w:color="BFC7D5" w:sz="4"/>
            </w:tcBorders>
            <w:tcMar>
              <w:top w:type="dxa" w:w="80"/>
              <w:left w:type="dxa" w:w="120"/>
              <w:bottom w:type="dxa" w:w="80"/>
              <w:right w:type="dxa" w:w="120"/>
            </w:tcMar>
          </w:tcPr>
          <w:p>
            <w:r>
              <w:t xml:space="preserve">Responsable de la sécurité des systèmes d’information</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 courriel]</w:t>
            </w:r>
          </w:p>
        </w:tc>
        <w:tc>
          <w:tcPr>
            <w:tcW w:type="dxa" w:w="2888"/>
            <w:tcBorders>
              <w:top w:val="single" w:color="BFC7D5" w:sz="4"/>
              <w:left w:val="single" w:color="BFC7D5" w:sz="4"/>
              <w:bottom w:val="single" w:color="BFC7D5" w:sz="4"/>
              <w:right w:val="single" w:color="BFC7D5" w:sz="4"/>
            </w:tcBorders>
            <w:tcMar>
              <w:top w:type="dxa" w:w="80"/>
              <w:left w:type="dxa" w:w="120"/>
              <w:bottom w:type="dxa" w:w="80"/>
              <w:right w:type="dxa" w:w="120"/>
            </w:tcMar>
          </w:tcPr>
          <w:p>
            <w:r>
              <w:rPr>
                <w:highlight w:val="yellow"/>
                <w:highlightCs w:val="yellow"/>
              </w:rPr>
              <w:t xml:space="preserve">[Nom, courriel]</w:t>
            </w:r>
          </w:p>
        </w:tc>
      </w:tr>
    </w:tbl>
    <w:p/>
    <w:sectPr>
      <w:footerReference w:type="default" r:id="rId7"/>
      <w:pgSz w:w="11906" w:h="16838" w:orient="portrait"/>
      <w:pgMar w:top="1440" w:right="1440" w:bottom="1440" w:left="1440" w:header="708" w:footer="708" w:gutter="0"/>
      <w:pgNumType/>
      <w:docGrid w:linePitch="360"/>
    </w:sectPr>
  </w:body>
</w:document>
</file>

<file path=word/comments.xml><?xml version="1.0" encoding="utf-8"?>
<w:comment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endnote w:type="separator" w:id="-1">
    <w:p>
      <w:pPr>
        <w:spacing w:after="0" w:line="240" w:lineRule="auto"/>
      </w:pPr>
      <w:r>
        <w:rPr>
          <w:rStyle w:val="EndnoteReference"/>
        </w:rPr>
        <w:endnoteRef/>
      </w:r>
      <w:r>
        <w:separator/>
      </w:r>
    </w:p>
  </w:endnote>
  <w:endnote w:type="continuationSeparator" w:id="0">
    <w:p>
      <w:pPr>
        <w:spacing w:after="0" w:line="240" w:lineRule="auto"/>
      </w:pPr>
      <w:r>
        <w:rPr>
          <w:rStyle w:val="EndnoteReference"/>
        </w:rPr>
        <w:endnoteRef/>
      </w: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ex="http://schemas.microsoft.com/office/word/2018/wordml/cex" xmlns:w16cid="http://schemas.microsoft.com/office/word/2016/wordml/cid" xmlns:w16="http://schemas.microsoft.com/office/word/2018/wordml" xmlns:w16sdtdh="http://schemas.microsoft.com/office/word/2020/wordml/sdtdatahash" xmlns:w16se="http://schemas.microsoft.com/office/word/2015/wordml/symex" mc:Ignorable="w14 w15 w16se w16cid w16 w16cex w16sdtdh"/>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w:p>
    <w:pPr>
      <w:jc w:val="center"/>
    </w:pPr>
    <w:r>
      <w:rPr>
        <w:color w:val="64748B"/>
        <w:sz w:val="16"/>
        <w:szCs w:val="16"/>
      </w:rPr>
      <w:t xml:space="preserve">Modèle proposé par validemic.com. Ne constitue pas un conseil juridique : faites-le relire par votre service juridique ou votre DPO avant toute utilisation.   </w:t>
    </w:r>
    <w:r>
      <w:rPr>
        <w:color w:val="64748B"/>
        <w:sz w:val="16"/>
        <w:szCs w:val="16"/>
      </w:rPr>
      <w:fldChar w:fldCharType="begin"/>
      <w:instrText xml:space="preserve">PAGE</w:instrText>
      <w:fldChar w:fldCharType="separate"/>
      <w:fldChar w:fldCharType="end"/>
    </w: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footnote w:type="separator" w:id="-1">
    <w:p>
      <w:pPr>
        <w:spacing w:after="0" w:line="240" w:lineRule="auto"/>
      </w:pPr>
      <w:r>
        <w:rPr>
          <w:rStyle w:val="FootnoteReference"/>
        </w:rPr>
        <w:footnoteRef/>
      </w:r>
      <w:r>
        <w:separator/>
      </w:r>
    </w:p>
  </w:footnote>
  <w:footnote w:type="continuationSeparator" w:id="0">
    <w:p>
      <w:pPr>
        <w:spacing w:after="0" w:line="240" w:lineRule="auto"/>
      </w:pPr>
      <w:r>
        <w:rPr>
          <w:rStyle w:val="FootnoteReference"/>
        </w:rPr>
        <w:footnoteRef/>
      </w:r>
      <w:r>
        <w:continuationSeparator/>
      </w:r>
    </w:p>
  </w:footnote>
</w:footnotes>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abstractNum w:abstractNumId="1" w15:restartNumberingAfterBreak="0">
    <w:multiLevelType w:val="hybridMultilevel"/>
    <w:lvl w:ilvl="0" w15:tentative="1">
      <w:start w:val="1"/>
      <w:numFmt w:val="bullet"/>
      <w:lvlText w:val="●"/>
      <w:lvlJc w:val="left"/>
      <w:pPr>
        <w:ind w:left="720" w:hanging="360"/>
      </w:pPr>
    </w:lvl>
    <w:lvl w:ilvl="1" w15:tentative="1">
      <w:start w:val="1"/>
      <w:numFmt w:val="bullet"/>
      <w:lvlText w:val="○"/>
      <w:lvlJc w:val="left"/>
      <w:pPr>
        <w:ind w:left="1440" w:hanging="360"/>
      </w:pPr>
    </w:lvl>
    <w:lvl w:ilvl="2" w15:tentative="1">
      <w:start w:val="1"/>
      <w:numFmt w:val="bullet"/>
      <w:lvlText w:val="■"/>
      <w:lvlJc w:val="left"/>
      <w:pPr>
        <w:ind w:left="2160" w:hanging="360"/>
      </w:pPr>
    </w:lvl>
    <w:lvl w:ilvl="3" w15:tentative="1">
      <w:start w:val="1"/>
      <w:numFmt w:val="bullet"/>
      <w:lvlText w:val="●"/>
      <w:lvlJc w:val="left"/>
      <w:pPr>
        <w:ind w:left="2880" w:hanging="360"/>
      </w:pPr>
    </w:lvl>
    <w:lvl w:ilvl="4" w15:tentative="1">
      <w:start w:val="1"/>
      <w:numFmt w:val="bullet"/>
      <w:lvlText w:val="○"/>
      <w:lvlJc w:val="left"/>
      <w:pPr>
        <w:ind w:left="3600" w:hanging="360"/>
      </w:pPr>
    </w:lvl>
    <w:lvl w:ilvl="5" w15:tentative="1">
      <w:start w:val="1"/>
      <w:numFmt w:val="bullet"/>
      <w:lvlText w:val="■"/>
      <w:lvlJc w:val="left"/>
      <w:pPr>
        <w:ind w:left="4320" w:hanging="360"/>
      </w:pPr>
    </w:lvl>
    <w:lvl w:ilvl="6" w15:tentative="1">
      <w:start w:val="1"/>
      <w:numFmt w:val="bullet"/>
      <w:lvlText w:val="●"/>
      <w:lvlJc w:val="left"/>
      <w:pPr>
        <w:ind w:left="5040" w:hanging="360"/>
      </w:pPr>
    </w:lvl>
    <w:lvl w:ilvl="7" w15:tentative="1">
      <w:start w:val="1"/>
      <w:numFmt w:val="bullet"/>
      <w:lvlText w:val="●"/>
      <w:lvlJc w:val="left"/>
      <w:pPr>
        <w:ind w:left="5760" w:hanging="360"/>
      </w:pPr>
    </w:lvl>
    <w:lvl w:ilvl="8" w15:tentative="1">
      <w:start w:val="1"/>
      <w:numFmt w:val="bullet"/>
      <w:lvlText w:val="●"/>
      <w:lvlJc w:val="left"/>
      <w:pPr>
        <w:ind w:left="6480" w:hanging="360"/>
      </w:pPr>
    </w:lvl>
  </w:abstractNum>
  <w:abstractNum w:abstractNumId="2" w15:restartNumberingAfterBreak="0">
    <w:multiLevelType w:val="hybridMultilevel"/>
    <w:lvl w:ilvl="0" w15:tentative="1">
      <w:start w:val="1"/>
      <w:numFmt w:val="bullet"/>
      <w:lvlText w:val="•"/>
      <w:lvlJc w:val="left"/>
      <w:pPr>
        <w:ind w:left="720" w:hanging="360"/>
      </w:pPr>
    </w:lvl>
  </w:abstractNum>
  <w:abstractNum w:abstractNumId="3" w15:restartNumberingAfterBreak="0">
    <w:multiLevelType w:val="hybridMultilevel"/>
    <w:lvl w:ilvl="0" w15:tentative="1">
      <w:start w:val="1"/>
      <w:numFmt w:val="decimal"/>
      <w:lvlText w:val="%1."/>
      <w:lvlJc w:val="left"/>
      <w:pPr>
        <w:ind w:left="720" w:hanging="360"/>
      </w:pPr>
    </w:lvl>
  </w:abstractNum>
  <w:num w:numId="1">
    <w:abstractNumId w:val="1"/>
    <w:lvlOverride w:ilvl="0">
      <w:startOverride w:val="1"/>
    </w:lvlOverride>
  </w:num>
  <w:num w:numId="2">
    <w:abstractNumId w:val="2"/>
    <w:lvlOverride w:ilvl="0">
      <w:startOverride w:val="1"/>
    </w:lvlOverride>
  </w:num>
</w:numbering>
</file>

<file path=word/settings.xml><?xml version="1.0" encoding="utf-8"?>
<w:setting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pg="http://schemas.microsoft.com/office/word/2010/wordprocessingGroup" xmlns:wpi="http://schemas.microsoft.com/office/word/2010/wordprocessingInk" xmlns:wne="http://schemas.microsoft.com/office/word/2006/wordml" xmlns:wps="http://schemas.microsoft.com/office/word/2010/wordprocessingShape" mc:Ignorable="w14 w15 wp14">
  <w:displayBackgroundShape/>
  <w:evenAndOddHeaders w:val="false"/>
  <w:compat>
    <w:compatSetting w:val="15" w:name="compatibilityMode" w:uri="http://schemas.microsoft.com/office/word"/>
  </w:compat>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mc:Ignorable="w14 w15">
  <w:docDefaults>
    <w:rPrDefault>
      <w:rPr>
        <w:rFonts w:ascii="Calibri" w:cs="Calibri" w:eastAsia="Calibri" w:hAnsi="Calibri"/>
        <w:sz w:val="22"/>
        <w:szCs w:val="22"/>
      </w:rPr>
    </w:rPrDefault>
    <w:pPrDefault/>
  </w:docDefaults>
  <w:style w:type="paragraph" w:styleId="Title">
    <w:name w:val="Title"/>
    <w:basedOn w:val="Normal"/>
    <w:next w:val="Normal"/>
    <w:qFormat/>
    <w:rPr>
      <w:sz w:val="56"/>
      <w:szCs w:val="56"/>
    </w:rPr>
  </w:style>
  <w:style w:type="paragraph" w:styleId="Heading1">
    <w:name w:val="Heading 1"/>
    <w:basedOn w:val="Normal"/>
    <w:next w:val="Normal"/>
    <w:qFormat/>
    <w:rPr>
      <w:color w:val="2E74B5"/>
      <w:sz w:val="32"/>
      <w:szCs w:val="32"/>
    </w:rPr>
  </w:style>
  <w:style w:type="paragraph" w:styleId="Heading2">
    <w:name w:val="Heading 2"/>
    <w:basedOn w:val="Normal"/>
    <w:next w:val="Normal"/>
    <w:qFormat/>
    <w:rPr>
      <w:color w:val="2E74B5"/>
      <w:sz w:val="26"/>
      <w:szCs w:val="26"/>
    </w:rPr>
  </w:style>
  <w:style w:type="paragraph" w:styleId="Heading3">
    <w:name w:val="Heading 3"/>
    <w:basedOn w:val="Normal"/>
    <w:next w:val="Normal"/>
    <w:qFormat/>
    <w:rPr>
      <w:color w:val="1F4D78"/>
      <w:sz w:val="24"/>
      <w:szCs w:val="24"/>
    </w:rPr>
  </w:style>
  <w:style w:type="paragraph" w:styleId="Heading4">
    <w:name w:val="Heading 4"/>
    <w:basedOn w:val="Normal"/>
    <w:next w:val="Normal"/>
    <w:qFormat/>
    <w:rPr>
      <w:i/>
      <w:iCs/>
      <w:color w:val="2E74B5"/>
    </w:rPr>
  </w:style>
  <w:style w:type="paragraph" w:styleId="Heading5">
    <w:name w:val="Heading 5"/>
    <w:basedOn w:val="Normal"/>
    <w:next w:val="Normal"/>
    <w:qFormat/>
    <w:rPr>
      <w:color w:val="2E74B5"/>
    </w:rPr>
  </w:style>
  <w:style w:type="paragraph" w:styleId="Heading6">
    <w:name w:val="Heading 6"/>
    <w:basedOn w:val="Normal"/>
    <w:next w:val="Normal"/>
    <w:qFormat/>
    <w:rPr>
      <w:color w:val="1F4D78"/>
    </w:rPr>
  </w:style>
  <w:style w:type="paragraph" w:styleId="Strong">
    <w:name w:val="Strong"/>
    <w:basedOn w:val="Normal"/>
    <w:next w:val="Normal"/>
    <w:qFormat/>
    <w:rPr>
      <w:b/>
      <w:bCs/>
    </w:rPr>
  </w:style>
  <w:style w:type="paragraph" w:styleId="ListParagraph">
    <w:name w:val="List Paragraph"/>
    <w:basedOn w:val="Normal"/>
    <w:qFormat/>
  </w:style>
  <w:style w:type="character" w:styleId="Hyperlink">
    <w:name w:val="Hyperlink"/>
    <w:basedOn w:val="DefaultParagraphFont"/>
    <w:uiPriority w:val="99"/>
    <w:unhideWhenUsed/>
    <w:rPr>
      <w:color w:val="0563C1"/>
      <w:u w:val="single"/>
    </w:rPr>
  </w:style>
  <w:style w:type="character" w:styleId="FootnoteReference">
    <w:name w:val="footnote reference"/>
    <w:basedOn w:val="DefaultParagraphFont"/>
    <w:uiPriority w:val="99"/>
    <w:semiHidden/>
    <w:unhideWhenUsed/>
    <w:rPr>
      <w:vertAlign w:val="superscript"/>
    </w:rPr>
  </w:style>
  <w:style w:type="paragraph" w:styleId="FootnoteText">
    <w:name w:val="footnote text"/>
    <w:basedOn w:val="Normal"/>
    <w:link w:val="FootnoteTextChar"/>
    <w:uiPriority w:val="99"/>
    <w:semiHidden/>
    <w:unhideWhenUsed/>
    <w:pPr>
      <w:spacing w:after="0" w:line="240" w:lineRule="auto"/>
    </w:pPr>
    <w:rPr>
      <w:sz w:val="20"/>
      <w:szCs w:val="20"/>
    </w:rPr>
  </w:style>
  <w:style w:type="character" w:styleId="FootnoteTextChar">
    <w:name w:val="Footnote Text Char"/>
    <w:basedOn w:val="DefaultParagraphFont"/>
    <w:link w:val="FootnoteText"/>
    <w:uiPriority w:val="99"/>
    <w:semiHidden/>
    <w:unhideWhenUsed/>
    <w:rPr>
      <w:sz w:val="20"/>
      <w:szCs w:val="20"/>
    </w:rPr>
  </w:style>
  <w:style w:type="character" w:styleId="EndnoteReference">
    <w:name w:val="endnote reference"/>
    <w:basedOn w:val="DefaultParagraphFont"/>
    <w:uiPriority w:val="99"/>
    <w:semiHidden/>
    <w:unhideWhenUsed/>
    <w:rPr>
      <w:vertAlign w:val="superscript"/>
    </w:rPr>
  </w:style>
  <w:style w:type="paragraph" w:styleId="EndnoteText">
    <w:name w:val="endnote text"/>
    <w:basedOn w:val="Normal"/>
    <w:link w:val="EndnoteTextChar"/>
    <w:uiPriority w:val="99"/>
    <w:semiHidden/>
    <w:unhideWhenUsed/>
    <w:pPr>
      <w:spacing w:after="0" w:line="240" w:lineRule="auto"/>
    </w:pPr>
    <w:rPr>
      <w:sz w:val="20"/>
      <w:szCs w:val="20"/>
    </w:rPr>
  </w:style>
  <w:style w:type="character" w:styleId="EndnoteTextChar">
    <w:name w:val="Endnote Text Char"/>
    <w:basedOn w:val="DefaultParagraphFont"/>
    <w:link w:val="EndnoteText"/>
    <w:uiPriority w:val="99"/>
    <w:semiHidden/>
    <w:unhideWhenUsed/>
    <w:rPr>
      <w:sz w:val="20"/>
      <w:szCs w:val="20"/>
    </w:rPr>
  </w:style>
  <w:style w:type="paragraph" w:styleId="Title">
    <w:name w:val="Title"/>
    <w:basedOn w:val="Normal"/>
    <w:pPr>
      <w:spacing w:after="120"/>
    </w:pPr>
    <w:rPr>
      <w:b/>
      <w:bCs/>
      <w:color w:val="0F1F38"/>
      <w:sz w:val="40"/>
      <w:szCs w:val="40"/>
    </w:rPr>
  </w:style>
  <w:style w:type="paragraph" w:styleId="Heading1">
    <w:name w:val="Heading 1"/>
    <w:basedOn w:val="Normal"/>
    <w:next w:val="Normal"/>
    <w:qFormat/>
    <w:pPr>
      <w:spacing w:after="120" w:before="320"/>
      <w:outlineLvl w:val="0"/>
    </w:pPr>
    <w:rPr>
      <w:b/>
      <w:bCs/>
      <w:color w:val="0F1F38"/>
      <w:sz w:val="30"/>
      <w:szCs w:val="30"/>
    </w:rPr>
  </w:style>
  <w:style w:type="paragraph" w:styleId="Heading2">
    <w:name w:val="Heading 2"/>
    <w:basedOn w:val="Normal"/>
    <w:next w:val="Normal"/>
    <w:qFormat/>
    <w:pPr>
      <w:spacing w:after="100" w:before="240"/>
      <w:outlineLvl w:val="1"/>
    </w:pPr>
    <w:rPr>
      <w:b/>
      <w:bCs/>
      <w:color w:val="1D4589"/>
      <w:sz w:val="25"/>
      <w:szCs w:val="25"/>
    </w:rPr>
  </w:style>
  <w:style w:type="paragraph" w:styleId="Heading3">
    <w:name w:val="Heading 3"/>
    <w:basedOn w:val="Normal"/>
    <w:next w:val="Normal"/>
    <w:qFormat/>
    <w:pPr>
      <w:spacing w:after="80" w:before="200"/>
      <w:outlineLvl w:val="2"/>
    </w:pPr>
    <w:rPr>
      <w:b/>
      <w:bCs/>
      <w:color w:val="334155"/>
      <w:sz w:val="22"/>
      <w:szCs w:val="22"/>
    </w:rPr>
  </w:style>
</w:styles>
</file>

<file path=word/_rels/comments.xml.rels><?xml version="1.0" encoding="UTF-8"?><Relationships xmlns="http://schemas.openxmlformats.org/package/2006/relationships"/>
</file>

<file path=word/_rels/document.xml.rels><?xml version="1.0" encoding="UTF-8"?><Relationships xmlns="http://schemas.openxmlformats.org/package/2006/relationships"><Relationship Id="rId1" Type="http://schemas.openxmlformats.org/officeDocument/2006/relationships/styles" Target="styles.xml"/><Relationship Id="rId2" Type="http://schemas.openxmlformats.org/officeDocument/2006/relationships/numbering" Target="numbering.xml"/><Relationship Id="rId3" Type="http://schemas.openxmlformats.org/officeDocument/2006/relationships/footnotes" Target="footnotes.xml"/><Relationship Id="rId4" Type="http://schemas.openxmlformats.org/officeDocument/2006/relationships/endnotes" Target="endnotes.xml"/><Relationship Id="rId5" Type="http://schemas.openxmlformats.org/officeDocument/2006/relationships/settings" Target="settings.xml"/><Relationship Id="rId6" Type="http://schemas.openxmlformats.org/officeDocument/2006/relationships/comments" Target="comments.xml"/><Relationship Id="rId7" Type="http://schemas.openxmlformats.org/officeDocument/2006/relationships/footer" Target="footer1.xml"/><Relationship Id="rId8" Type="http://schemas.openxmlformats.org/officeDocument/2006/relationships/fontTable" Target="fontTable.xml"/></Relationships>
</file>

<file path=word/_rels/endnotes.xml.rels><?xml version="1.0" encoding="UTF-8"?><Relationships xmlns="http://schemas.openxmlformats.org/package/2006/relationships"/>
</file>

<file path=word/_rels/fontTable.xml.rels><?xml version="1.0" encoding="UTF-8"?><Relationships xmlns="http://schemas.openxmlformats.org/package/2006/relationships"/>
</file>

<file path=word/_rels/footer1.xml.rels><?xml version="1.0" encoding="UTF-8"?><Relationships xmlns="http://schemas.openxmlformats.org/package/2006/relationships"/>
</file>

<file path=word/_rels/footnotes.xml.rels><?xml version="1.0" encoding="UTF-8"?><Relationships xmlns="http://schemas.openxmlformats.org/package/2006/relationships"/>
</file>

<file path=docProps/app.xml><?xml version="1.0" encoding="utf-8"?>
<Properties xmlns="http://schemas.openxmlformats.org/officeDocument/2006/extended-properties" xmlns:vt="http://schemas.openxmlformats.org/officeDocument/2006/docPropsVTyp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Contrat de sous-traitance de données à caractère personnel</dc:title>
  <dc:creator>Validemic</dc:creator>
  <cp:lastModifiedBy>Un-named</cp:lastModifiedBy>
  <cp:revision>1</cp:revision>
  <dcterms:created xsi:type="dcterms:W3CDTF">2026-10-07T02:31:32.830Z</dcterms:created>
  <dcterms:modified xsi:type="dcterms:W3CDTF">2026-10-07T02:31:32.830Z</dcterms:modified>
</cp:coreProperties>
</file>

<file path=docProps/custom.xml><?xml version="1.0" encoding="utf-8"?>
<Properties xmlns="http://schemas.openxmlformats.org/officeDocument/2006/custom-properties" xmlns:vt="http://schemas.openxmlformats.org/officeDocument/2006/docPropsVTypes"/>
</file>