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Personuppgiftsbiträdesavtal</w:t>
      </w:r>
    </w:p>
    <w:p>
      <w:pPr>
        <w:spacing w:after="240"/>
      </w:pPr>
      <w:r>
        <w:rPr>
          <w:color w:val="64748B"/>
        </w:rPr>
        <w:t xml:space="preserve">Mall enligt artikel 28 i dataskyddsförordningen (EU) 2016/679. Version från validemic.com, oktober 2026.</w:t>
      </w:r>
    </w:p>
    <w:p>
      <w:pPr>
        <w:pBdr>
          <w:left w:val="single" w:color="F59E0B" w:sz="18" w:space="8"/>
        </w:pBdr>
        <w:shd w:fill="FFFBEB" w:color="auto" w:val="clear"/>
        <w:spacing w:after="160" w:before="120"/>
      </w:pPr>
      <w:r>
        <w:rPr>
          <w:i/>
          <w:iCs/>
        </w:rPr>
        <w:t xml:space="preserve">Så använder ni mallen: fyll i allt som står inom </w:t>
      </w:r>
      <w:r>
        <w:rPr>
          <w:i/>
          <w:iCs/>
          <w:highlight w:val="yellow"/>
          <w:highlightCs w:val="yellow"/>
        </w:rPr>
        <w:t xml:space="preserve">[hakparenteser]</w:t>
      </w:r>
      <w:r>
        <w:rPr>
          <w:i/>
          <w:iCs/>
        </w:rPr>
        <w:t xml:space="preserve"> och ta bort de alternativ som inte gäller. Bilaga 1 (instruktion) är den viktigaste delen och ska beskriva just den här behandlingen. Mallen är inte juridisk rådgivning. Låt lärosätets jurist eller dataskyddsombud granska avtalet före undertecknande och stäm av det mot lärosätets egna mallar och delegationsordning. Ta bort den här rutan innan avtalet skickas.</w:t>
      </w:r>
    </w:p>
    <w:p>
      <w:pPr>
        <w:pStyle w:val="Heading1"/>
      </w:pPr>
      <w:r>
        <w:t xml:space="preserve">1. Parter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3430"/>
        <w:gridCol w:w="3430"/>
      </w:tblGrid>
      <w:tr>
        <w:trPr>
          <w:tblHeader/>
        </w:trPr>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Personuppgiftsansvarig</w:t>
            </w:r>
          </w:p>
        </w:tc>
        <w:tc>
          <w:tcPr>
            <w:tcW w:type="dxa" w:w="343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Personuppgiftsbiträde</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Namn</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[Lärosätets namn]</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[Leverantörens namn]</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Organisationsnummer</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[000000-0000]</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[Organisationsnummer]</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Adress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[Postadress]</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[Postadress]</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Kontaktperson för avtalet</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befattning, e-post]</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befattning, e-post]</w:t>
            </w:r>
          </w:p>
        </w:tc>
      </w:tr>
      <w:tr>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Dataskyddsombud</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eller funktion, e-post]</w:t>
            </w:r>
          </w:p>
        </w:tc>
        <w:tc>
          <w:tcPr>
            <w:tcW w:type="dxa" w:w="343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eller funktion, e-post, eller ”Ej utsett”]</w:t>
            </w:r>
          </w:p>
        </w:tc>
      </w:tr>
    </w:tbl>
    <w:p/>
    <w:p>
      <w:pPr>
        <w:spacing w:after="120"/>
      </w:pPr>
      <w:r>
        <w:t xml:space="preserve">Parterna benämns nedan var för sig ”part” och gemensamt ”parterna”. Den personuppgiftsansvarige benämns ”lärosätet” och personuppgiftsbiträdet ”biträdet”.</w:t>
      </w:r>
    </w:p>
    <w:p>
      <w:pPr>
        <w:pStyle w:val="Heading1"/>
      </w:pPr>
      <w:r>
        <w:t xml:space="preserve">2. Bakgrund och syfte</w:t>
      </w:r>
    </w:p>
    <w:p>
      <w:pPr>
        <w:spacing w:after="120"/>
      </w:pPr>
      <w:r>
        <w:t xml:space="preserve">2.1 Parterna har ingått avtal om </w:t>
      </w:r>
      <w:r>
        <w:rPr>
          <w:highlight w:val="yellow"/>
          <w:highlightCs w:val="yellow"/>
        </w:rPr>
        <w:t xml:space="preserve">[beskrivning av tjänsten]</w:t>
      </w:r>
      <w:r>
        <w:t xml:space="preserve">, </w:t>
      </w:r>
      <w:r>
        <w:rPr>
          <w:highlight w:val="yellow"/>
          <w:highlightCs w:val="yellow"/>
        </w:rPr>
        <w:t xml:space="preserve">[avtalets namn och diarienummer]</w:t>
      </w:r>
      <w:r>
        <w:t xml:space="preserve"> (”huvudavtalet”). Vid fullgörandet av huvudavtalet kommer biträdet att behandla personuppgifter för lärosätets räkning.</w:t>
      </w:r>
    </w:p>
    <w:p>
      <w:pPr>
        <w:spacing w:after="120"/>
      </w:pPr>
      <w:r>
        <w:t xml:space="preserve">2.2 Detta avtal reglerar biträdets behandling av personuppgifter för lärosätets räkning och syftar till att uppfylla kraven i artikel 28.3 och 28.4 i Europaparlamentets och rådets förordning (EU) 2016/679 (”dataskyddsförordningen”) samt kompletterande svensk dataskyddslagstiftning.</w:t>
      </w:r>
    </w:p>
    <w:p>
      <w:pPr>
        <w:spacing w:after="120"/>
      </w:pPr>
      <w:r>
        <w:t xml:space="preserve">2.3 Begrepp i detta avtal, såsom personuppgifter, behandling, personuppgiftsansvarig, personuppgiftsbiträde, registrerad och personuppgiftsincident, har samma betydelse som i dataskyddsförordningen. Med ”underbiträde” avses ett annat personuppgiftsbiträde som biträdet anlitar enligt artikel 28.2 och 28.4.</w:t>
      </w:r>
    </w:p>
    <w:p>
      <w:pPr>
        <w:pStyle w:val="Heading1"/>
      </w:pPr>
      <w:r>
        <w:t xml:space="preserve">3. Behandlingens föremål, varaktighet, art och ändamål</w:t>
      </w:r>
    </w:p>
    <w:p>
      <w:pPr>
        <w:spacing w:after="120"/>
      </w:pPr>
      <w:r>
        <w:t xml:space="preserve">3.1 Föremålet för behandlingen, dess varaktighet, art och ändamål, typen av personuppgifter, kategorierna av registrerade, lagringstider och de platser där behandling får ske anges i </w:t>
      </w:r>
      <w:r>
        <w:rPr>
          <w:b/>
          <w:bCs/>
        </w:rPr>
        <w:t xml:space="preserve">Bilaga 1 (Instruktion för behandlingen)</w:t>
      </w:r>
      <w:r>
        <w:t xml:space="preserve">.</w:t>
      </w:r>
    </w:p>
    <w:p>
      <w:pPr>
        <w:spacing w:after="120"/>
      </w:pPr>
      <w:r>
        <w:t xml:space="preserve">3.2 Lärosätet ansvarar för att det finns rättslig grund för behandlingen och för att instruktionerna är förenliga med dataskyddsförordningen.</w:t>
      </w:r>
    </w:p>
    <w:p>
      <w:pPr>
        <w:pStyle w:val="Heading1"/>
      </w:pPr>
      <w:r>
        <w:t xml:space="preserve">4. Behandling endast enligt dokumenterade instruktioner (art. 28.3 a)</w:t>
      </w:r>
    </w:p>
    <w:p>
      <w:pPr>
        <w:spacing w:after="120"/>
      </w:pPr>
      <w:r>
        <w:t xml:space="preserve">4.1 Biträdet får endast behandla personuppgifterna enligt lärosätets dokumenterade instruktioner, såsom de framgår av detta avtal med bilagor eller av senare skriftliga instruktioner från lärosätets kontaktperson. Detta gäller även överföring av personuppgifter till tredjeland eller till en internationell organisation.</w:t>
      </w:r>
    </w:p>
    <w:p>
      <w:pPr>
        <w:spacing w:after="120"/>
      </w:pPr>
      <w:r>
        <w:t xml:space="preserve">4.2 Om biträdet enligt unionsrätten eller en medlemsstats nationella rätt är skyldigt att behandla personuppgifterna på annat sätt, ska biträdet informera lärosätet om det rättsliga kravet innan behandlingen sker, om inte sådan information är förbjuden med hänvisning till ett viktigt allmänintresse enligt den rätten.</w:t>
      </w:r>
    </w:p>
    <w:p>
      <w:pPr>
        <w:spacing w:after="120"/>
      </w:pPr>
      <w:r>
        <w:t xml:space="preserve">4.3 Biträdet får inte behandla personuppgifterna för egna ändamål, till exempel produktutveckling, analys, marknadsföring eller träning av AI-modeller, om inte detta uttryckligen anges i Bilaga 1.</w:t>
      </w:r>
    </w:p>
    <w:p>
      <w:pPr>
        <w:spacing w:after="120"/>
      </w:pPr>
      <w:r>
        <w:t xml:space="preserve">4.4 Biträdet ska omedelbart informera lärosätet om biträdet anser att en instruktion strider mot dataskyddsförordningen eller mot andra dataskyddsbestämmelser i unionsrätten eller svensk rätt.</w:t>
      </w:r>
    </w:p>
    <w:p>
      <w:pPr>
        <w:pStyle w:val="Heading1"/>
      </w:pPr>
      <w:r>
        <w:t xml:space="preserve">5. Konfidentialitet (art. 28.3 b)</w:t>
      </w:r>
    </w:p>
    <w:p>
      <w:pPr>
        <w:spacing w:after="120"/>
      </w:pPr>
      <w:r>
        <w:t xml:space="preserve">5.1 Biträdet ska säkerställa att endast personer som behöver tillgång till personuppgifterna för att fullgöra huvudavtalet får sådan tillgång, och att dessa personer har åtagit sig att iaktta konfidentialitet eller omfattas av en lämplig lagstadgad tystnadsplikt. Åtagandet ska gälla även efter att uppdraget eller anställningen har upphört.</w:t>
      </w:r>
    </w:p>
    <w:p>
      <w:pPr>
        <w:spacing w:after="120"/>
      </w:pPr>
      <w:r>
        <w:t xml:space="preserve">5.2 Biträdet ska inte lämna ut personuppgifter eller information om behandlingen till tredje part utan lärosätets skriftliga godkännande, om inte annat följer av lag. Begär en myndighet eller annan tredje part tillgång till personuppgifterna ska biträdet, om det är tillåtet, omedelbart underrätta lärosätet och hänvisa begäran dit.</w:t>
      </w:r>
    </w:p>
    <w:p>
      <w:pPr>
        <w:spacing w:after="120"/>
      </w:pPr>
      <w:r>
        <w:t xml:space="preserve">5.3 </w:t>
      </w:r>
      <w:r>
        <w:rPr>
          <w:highlight w:val="yellow"/>
          <w:highlightCs w:val="yellow"/>
        </w:rPr>
        <w:t xml:space="preserve">[Om lärosätet är en myndighet: Biträdet är medvetet om att uppgifter som behandlas enligt detta avtal kan omfattas av sekretess enligt offentlighets- och sekretesslagen (2009:400) och ska hantera uppgifterna med hänsyn till det.]</w:t>
      </w:r>
    </w:p>
    <w:p>
      <w:pPr>
        <w:pStyle w:val="Heading1"/>
      </w:pPr>
      <w:r>
        <w:t xml:space="preserve">6. Säkerhet (art. 28.3 c och art. 32)</w:t>
      </w:r>
    </w:p>
    <w:p>
      <w:pPr>
        <w:spacing w:after="120"/>
      </w:pPr>
      <w:r>
        <w:t xml:space="preserve">6.1 Biträdet ska vidta alla tekniska och organisatoriska åtgärder som krävs enligt artikel 32 i dataskyddsförordningen, med beaktande av den senaste utvecklingen, kostnaderna, behandlingens art, omfattning, sammanhang och ändamål samt riskerna för de registrerade. Åtgärderna ska minst motsvara dem som anges i </w:t>
      </w:r>
      <w:r>
        <w:rPr>
          <w:b/>
          <w:bCs/>
        </w:rPr>
        <w:t xml:space="preserve">Bilaga 2 (Säkerhetsåtgärder)</w:t>
      </w:r>
      <w:r>
        <w:t xml:space="preserve">.</w:t>
      </w:r>
    </w:p>
    <w:p>
      <w:pPr>
        <w:spacing w:after="120"/>
      </w:pPr>
      <w:r>
        <w:t xml:space="preserve">6.2 Biträdet får inte sänka säkerhetsnivån under avtalstiden utan lärosätets skriftliga godkännande.</w:t>
      </w:r>
    </w:p>
    <w:p>
      <w:pPr>
        <w:pStyle w:val="Heading1"/>
      </w:pPr>
      <w:r>
        <w:t xml:space="preserve">7. Underbiträden (art. 28.2, 28.3 d och 28.4)</w:t>
      </w:r>
    </w:p>
    <w:p>
      <w:pPr>
        <w:spacing w:after="120"/>
      </w:pPr>
      <w:r>
        <w:t xml:space="preserve">7.1 </w:t>
      </w:r>
      <w:r>
        <w:rPr>
          <w:highlight w:val="yellow"/>
          <w:highlightCs w:val="yellow"/>
        </w:rPr>
        <w:t xml:space="preserve">[Välj ett alternativ och ta bort det andra.]</w:t>
      </w:r>
    </w:p>
    <w:p>
      <w:pPr>
        <w:spacing w:after="120"/>
      </w:pPr>
      <w:r>
        <w:rPr>
          <w:b/>
          <w:bCs/>
        </w:rPr>
        <w:t xml:space="preserve">Alternativ A, särskilt förhandstillstånd:</w:t>
      </w:r>
      <w:r>
        <w:t xml:space="preserve"> Biträdet får inte anlita ett underbiträde utan lärosätets särskilda skriftliga förhandstillstånd. Begäran om tillstånd ska lämnas minst </w:t>
      </w:r>
      <w:r>
        <w:rPr>
          <w:highlight w:val="yellow"/>
          <w:highlightCs w:val="yellow"/>
        </w:rPr>
        <w:t xml:space="preserve">[30]</w:t>
      </w:r>
      <w:r>
        <w:t xml:space="preserve"> dagar innan underbiträdet anlitas, tillsammans med den information som anges i punkt 7.2.</w:t>
      </w:r>
    </w:p>
    <w:p>
      <w:pPr>
        <w:spacing w:after="120"/>
      </w:pPr>
      <w:r>
        <w:rPr>
          <w:b/>
          <w:bCs/>
        </w:rPr>
        <w:t xml:space="preserve">Alternativ B, allmänt skriftligt tillstånd:</w:t>
      </w:r>
      <w:r>
        <w:t xml:space="preserve"> Lärosätet ger biträdet ett allmänt tillstånd att anlita de underbiträden som anges i </w:t>
      </w:r>
      <w:r>
        <w:rPr>
          <w:b/>
          <w:bCs/>
        </w:rPr>
        <w:t xml:space="preserve">Bilaga 3 (Godkända underbiträden)</w:t>
      </w:r>
      <w:r>
        <w:t xml:space="preserve">. Biträdet ska skriftligen informera lärosätet om planerade tillägg eller byten av underbiträden minst </w:t>
      </w:r>
      <w:r>
        <w:rPr>
          <w:highlight w:val="yellow"/>
          <w:highlightCs w:val="yellow"/>
        </w:rPr>
        <w:t xml:space="preserve">[30]</w:t>
      </w:r>
      <w:r>
        <w:t xml:space="preserve"> dagar i förväg. Lärosätet får invända mot ändringen inom </w:t>
      </w:r>
      <w:r>
        <w:rPr>
          <w:highlight w:val="yellow"/>
          <w:highlightCs w:val="yellow"/>
        </w:rPr>
        <w:t xml:space="preserve">[15]</w:t>
      </w:r>
      <w:r>
        <w:t xml:space="preserve"> dagar. Om lärosätet invänder och parterna inte kan enas har lärosätet rätt att utan kostnad säga upp de delar av huvudavtalet som påverkas.</w:t>
      </w:r>
    </w:p>
    <w:p>
      <w:pPr>
        <w:spacing w:after="120"/>
      </w:pPr>
      <w:r>
        <w:t xml:space="preserve">7.2 För varje underbiträde ska biträdet ange namn, organisationsnummer, adress, kontaktperson, vilken behandling underbiträdet utför och i vilket land behandlingen sker. Biträdet ska självmant hålla uppgifterna aktuella och på begäran redovisa underbiträden i senare led.</w:t>
      </w:r>
    </w:p>
    <w:p>
      <w:pPr>
        <w:spacing w:after="120"/>
      </w:pPr>
      <w:r>
        <w:t xml:space="preserve">7.3 Biträdet ska genom skriftligt avtal ålägga underbiträdet samma skyldigheter i fråga om dataskydd som gäller för biträdet enligt detta avtal, inklusive skyldigheten att möjliggöra granskning.</w:t>
      </w:r>
    </w:p>
    <w:p>
      <w:pPr>
        <w:spacing w:after="120"/>
      </w:pPr>
      <w:r>
        <w:t xml:space="preserve">7.4 Biträdet är fullt ansvarigt gentemot lärosätet för att underbiträdet fullgör sina skyldigheter.</w:t>
      </w:r>
    </w:p>
    <w:p>
      <w:pPr>
        <w:pStyle w:val="Heading1"/>
      </w:pPr>
      <w:r>
        <w:t xml:space="preserve">8. Tredjelandsöverföringar</w:t>
      </w:r>
    </w:p>
    <w:p>
      <w:pPr>
        <w:spacing w:after="120"/>
      </w:pPr>
      <w:r>
        <w:t xml:space="preserve">8.1 Personuppgifterna får endast behandlas inom EU/EES, om inte en överföring till tredjeland eller en internationell organisation uttryckligen anges i </w:t>
      </w:r>
      <w:r>
        <w:rPr>
          <w:b/>
          <w:bCs/>
        </w:rPr>
        <w:t xml:space="preserve">Bilaga 4 (Tredjelandsöverföringar)</w:t>
      </w:r>
      <w:r>
        <w:t xml:space="preserve">. Detta gäller även åtkomst från tredjeland, till exempel för support eller drift.</w:t>
      </w:r>
    </w:p>
    <w:p>
      <w:pPr>
        <w:spacing w:after="120"/>
      </w:pPr>
      <w:r>
        <w:t xml:space="preserve">8.2 En tillåten överföring ska ha stöd i kapitel V i dataskyddsförordningen, till exempel ett beslut om adekvat skyddsnivå eller standardavtalsklausuler enligt kommissionens genomförandebeslut (EU) 2021/914 med de kompletterande åtgärder som behövs.</w:t>
      </w:r>
    </w:p>
    <w:p>
      <w:pPr>
        <w:spacing w:after="120"/>
      </w:pPr>
      <w:r>
        <w:t xml:space="preserve">8.3 Biträdet ska omedelbart informera lärosätet om biträdet eller ett underbiträde inte längre kan uppfylla villkoren för överföringen, eller om lagstiftning i tredjeland hindrar biträdet från att fullgöra detta avtal.</w:t>
      </w:r>
    </w:p>
    <w:p>
      <w:pPr>
        <w:pStyle w:val="Heading1"/>
      </w:pPr>
      <w:r>
        <w:t xml:space="preserve">9. De registrerades rättigheter (art. 28.3 e)</w:t>
      </w:r>
    </w:p>
    <w:p>
      <w:pPr>
        <w:spacing w:after="120"/>
      </w:pPr>
      <w:r>
        <w:t xml:space="preserve">9.1 Biträdet ska, med beaktande av behandlingens art, genom lämpliga tekniska och organisatoriska åtgärder hjälpa lärosätet att fullgöra sin skyldighet att besvara begäranden om utövande av de registrerades rättigheter enligt kapitel III i dataskyddsförordningen.</w:t>
      </w:r>
    </w:p>
    <w:p>
      <w:pPr>
        <w:spacing w:after="120"/>
      </w:pPr>
      <w:r>
        <w:t xml:space="preserve">9.2 Får biträdet en begäran direkt från en registrerad ska biträdet inom </w:t>
      </w:r>
      <w:r>
        <w:rPr>
          <w:highlight w:val="yellow"/>
          <w:highlightCs w:val="yellow"/>
        </w:rPr>
        <w:t xml:space="preserve">[2]</w:t>
      </w:r>
      <w:r>
        <w:t xml:space="preserve"> arbetsdagar vidarebefordra den till lärosätet och inte själv besvara den, om inte lärosätet har instruerat annat.</w:t>
      </w:r>
    </w:p>
    <w:p>
      <w:pPr>
        <w:spacing w:after="120"/>
      </w:pPr>
      <w:r>
        <w:t xml:space="preserve">9.3 Biträdet ska inom </w:t>
      </w:r>
      <w:r>
        <w:rPr>
          <w:highlight w:val="yellow"/>
          <w:highlightCs w:val="yellow"/>
        </w:rPr>
        <w:t xml:space="preserve">[5]</w:t>
      </w:r>
      <w:r>
        <w:t xml:space="preserve"> arbetsdagar från lärosätets begäran kunna ta fram, rätta och radera en registrerads personuppgifter, begränsa behandlingen av dem och exportera dem i ett strukturerat, maskinläsbart format.</w:t>
      </w:r>
    </w:p>
    <w:p>
      <w:pPr>
        <w:pStyle w:val="Heading1"/>
      </w:pPr>
      <w:r>
        <w:t xml:space="preserve">10. Bistånd med artiklarna 32–36 (art. 28.3 f)</w:t>
      </w:r>
    </w:p>
    <w:p>
      <w:pPr>
        <w:pStyle w:val="Heading3"/>
      </w:pPr>
      <w:r>
        <w:t xml:space="preserve">Personuppgiftsincidenter</w:t>
      </w:r>
    </w:p>
    <w:p>
      <w:pPr>
        <w:spacing w:after="120"/>
      </w:pPr>
      <w:r>
        <w:t xml:space="preserve">10.1 Biträdet ska underrätta lärosätet utan onödigt dröjsmål, och senast inom </w:t>
      </w:r>
      <w:r>
        <w:rPr>
          <w:highlight w:val="yellow"/>
          <w:highlightCs w:val="yellow"/>
        </w:rPr>
        <w:t xml:space="preserve">[24]</w:t>
      </w:r>
      <w:r>
        <w:t xml:space="preserve"> timmar, efter att ha fått vetskap om en personuppgiftsincident hos biträdet eller ett underbiträde. Underrättelsen ska skickas till </w:t>
      </w:r>
      <w:r>
        <w:rPr>
          <w:highlight w:val="yellow"/>
          <w:highlightCs w:val="yellow"/>
        </w:rPr>
        <w:t xml:space="preserve">[e-postadress eller funktion hos lärosätet]</w:t>
      </w:r>
      <w:r>
        <w:t xml:space="preserve">.</w:t>
      </w:r>
    </w:p>
    <w:p>
      <w:pPr>
        <w:spacing w:after="120"/>
      </w:pPr>
      <w:r>
        <w:t xml:space="preserve">10.2 Underrättelsen ska, i den mån informationen finns tillgänglig, innehålla: incidentens art, kategorier och ungefärligt antal registrerade och personuppgiftsposter som berörs, sannolika konsekvenser, vidtagna och föreslagna åtgärder samt en kontaktperson. Information som inte finns tillgänglig vid första underrättelsen ska lämnas så snart den finns.</w:t>
      </w:r>
    </w:p>
    <w:p>
      <w:pPr>
        <w:spacing w:after="120"/>
      </w:pPr>
      <w:r>
        <w:t xml:space="preserve">10.3 Biträdet får inte anmäla incidenten till Integritetsskyddsmyndigheten eller informera de registrerade utan lärosätets skriftliga instruktion. </w:t>
      </w:r>
      <w:r>
        <w:rPr>
          <w:highlight w:val="yellow"/>
          <w:highlightCs w:val="yellow"/>
        </w:rPr>
        <w:t xml:space="preserve">[Alternativt: Biträdet får efter lärosätets godkännande anmäla incidenten direkt och ska då lämna kopia av anmälan till lärosätet.]</w:t>
      </w:r>
    </w:p>
    <w:p>
      <w:pPr>
        <w:pStyle w:val="Heading3"/>
      </w:pPr>
      <w:r>
        <w:t xml:space="preserve">Konsekvensbedömning och förhandssamråd</w:t>
      </w:r>
    </w:p>
    <w:p>
      <w:pPr>
        <w:spacing w:after="120"/>
      </w:pPr>
      <w:r>
        <w:t xml:space="preserve">10.4 Biträdet ska på begäran lämna den information lärosätet behöver för att genomföra en konsekvensbedömning avseende dataskydd enligt artikel 35 och vid behov förhandssamråd med Integritetsskyddsmyndigheten enligt artikel 36.</w:t>
      </w:r>
    </w:p>
    <w:p>
      <w:pPr>
        <w:pStyle w:val="Heading1"/>
      </w:pPr>
      <w:r>
        <w:t xml:space="preserve">11. Information och granskning (art. 28.3 h)</w:t>
      </w:r>
    </w:p>
    <w:p>
      <w:pPr>
        <w:spacing w:after="120"/>
      </w:pPr>
      <w:r>
        <w:t xml:space="preserve">11.1 Biträdet ska ge lärosätet tillgång till all information som behövs för att visa att skyldigheterna i artikel 28 och i detta avtal fullgörs, bland annat aktuella säkerhetsrapporter, certifieringar och revisionsrapporter från oberoende granskare.</w:t>
      </w:r>
    </w:p>
    <w:p>
      <w:pPr>
        <w:spacing w:after="120"/>
      </w:pPr>
      <w:r>
        <w:t xml:space="preserve">11.2 Lärosätet, eller en revisor som lärosätet utser och som omfattas av tystnadsplikt, har rätt att genomföra granskningar, inklusive inspektioner, med minst </w:t>
      </w:r>
      <w:r>
        <w:rPr>
          <w:highlight w:val="yellow"/>
          <w:highlightCs w:val="yellow"/>
        </w:rPr>
        <w:t xml:space="preserve">[30]</w:t>
      </w:r>
      <w:r>
        <w:t xml:space="preserve"> dagars skriftligt varsel. Vid misstanke om allvarlig överträdelse eller efter en personuppgiftsincident får varseltiden förkortas till </w:t>
      </w:r>
      <w:r>
        <w:rPr>
          <w:highlight w:val="yellow"/>
          <w:highlightCs w:val="yellow"/>
        </w:rPr>
        <w:t xml:space="preserve">[5]</w:t>
      </w:r>
      <w:r>
        <w:t xml:space="preserve"> arbetsdagar.</w:t>
      </w:r>
    </w:p>
    <w:p>
      <w:pPr>
        <w:spacing w:after="120"/>
      </w:pPr>
      <w:r>
        <w:t xml:space="preserve">11.3 Varje part står sina egna kostnader för granskningen. Visar granskningen att biträdet väsentligt har brutit mot avtalet ska biträdet dock ersätta lärosätets skäliga kostnader.</w:t>
      </w:r>
    </w:p>
    <w:p>
      <w:pPr>
        <w:spacing w:after="120"/>
      </w:pPr>
      <w:r>
        <w:t xml:space="preserve">11.4 Biträdet ska ge Integritetsskyddsmyndigheten eller annan behörig tillsynsmyndighet tillgång till information och lokaler i den utsträckning som krävs enligt lag.</w:t>
      </w:r>
    </w:p>
    <w:p>
      <w:pPr>
        <w:pStyle w:val="Heading1"/>
      </w:pPr>
      <w:r>
        <w:t xml:space="preserve">12. Radering och återlämnande (art. 28.3 g)</w:t>
      </w:r>
    </w:p>
    <w:p>
      <w:pPr>
        <w:spacing w:after="120"/>
      </w:pPr>
      <w:r>
        <w:t xml:space="preserve">12.1 När tillhandahållandet av behandlingstjänster upphör ska biträdet, efter lärosätets val, </w:t>
      </w:r>
      <w:r>
        <w:rPr>
          <w:highlight w:val="yellow"/>
          <w:highlightCs w:val="yellow"/>
        </w:rPr>
        <w:t xml:space="preserve">[återlämna samtliga personuppgifter / radera samtliga personuppgifter]</w:t>
      </w:r>
      <w:r>
        <w:t xml:space="preserve"> inom </w:t>
      </w:r>
      <w:r>
        <w:rPr>
          <w:highlight w:val="yellow"/>
          <w:highlightCs w:val="yellow"/>
        </w:rPr>
        <w:t xml:space="preserve">[30]</w:t>
      </w:r>
      <w:r>
        <w:t xml:space="preserve"> dagar, vid återlämnande i formatet </w:t>
      </w:r>
      <w:r>
        <w:rPr>
          <w:highlight w:val="yellow"/>
          <w:highlightCs w:val="yellow"/>
        </w:rPr>
        <w:t xml:space="preserve">[format]</w:t>
      </w:r>
      <w:r>
        <w:t xml:space="preserve">, och radera befintliga kopior, om inte lagring krävs enligt unionsrätten eller svensk rätt. Lärosätet får ändra sitt val fram till dess att tjänsten upphör.</w:t>
      </w:r>
    </w:p>
    <w:p>
      <w:pPr>
        <w:spacing w:after="120"/>
      </w:pPr>
      <w:r>
        <w:t xml:space="preserve">12.2 Personuppgifter i säkerhetskopior ska raderas inom </w:t>
      </w:r>
      <w:r>
        <w:rPr>
          <w:highlight w:val="yellow"/>
          <w:highlightCs w:val="yellow"/>
        </w:rPr>
        <w:t xml:space="preserve">[90]</w:t>
      </w:r>
      <w:r>
        <w:t xml:space="preserve"> dagar och får fram till dess inte återställas eller användas.</w:t>
      </w:r>
    </w:p>
    <w:p>
      <w:pPr>
        <w:spacing w:after="120"/>
      </w:pPr>
      <w:r>
        <w:t xml:space="preserve">12.3 Biträdet ska skriftligen bekräfta att radering har genomförts, även hos underbiträden.</w:t>
      </w:r>
    </w:p>
    <w:p>
      <w:pPr>
        <w:pStyle w:val="Heading1"/>
      </w:pPr>
      <w:r>
        <w:t xml:space="preserve">13. Ansvar</w:t>
      </w:r>
    </w:p>
    <w:p>
      <w:pPr>
        <w:spacing w:after="120"/>
      </w:pPr>
      <w:r>
        <w:t xml:space="preserve">13.1 Skadeståndsansvar gentemot registrerade och administrativa sanktionsavgifter regleras i artiklarna 82 och 83 i dataskyddsförordningen. Biträdet ska hålla lärosätet skadeslöst för skadestånd och kostnader som uppkommer till följd av att biträdet eller dess underbiträden har behandlat personuppgifter i strid med detta avtal eller dataskyddsförordningen.</w:t>
      </w:r>
    </w:p>
    <w:p>
      <w:pPr>
        <w:spacing w:after="120"/>
      </w:pPr>
      <w:r>
        <w:t xml:space="preserve">13.2 </w:t>
      </w:r>
      <w:r>
        <w:rPr>
          <w:highlight w:val="yellow"/>
          <w:highlightCs w:val="yellow"/>
        </w:rPr>
        <w:t xml:space="preserve">[Välj: Eventuell ansvarsbegränsning i huvudavtalet ska inte tillämpas på ansvar enligt punkt 13.1. / Ansvarsbegränsning enligt huvudavtalet gäller med följande undantag:]</w:t>
      </w:r>
      <w:r>
        <w:t xml:space="preserve"> </w:t>
      </w:r>
      <w:r>
        <w:rPr>
          <w:highlight w:val="yellow"/>
          <w:highlightCs w:val="yellow"/>
        </w:rPr>
        <w:t xml:space="preserve">[ange undantag]</w:t>
      </w:r>
    </w:p>
    <w:p>
      <w:pPr>
        <w:pStyle w:val="Heading1"/>
      </w:pPr>
      <w:r>
        <w:t xml:space="preserve">14. Avtalstid, ändringar och företräde</w:t>
      </w:r>
    </w:p>
    <w:p>
      <w:pPr>
        <w:spacing w:after="120"/>
      </w:pPr>
      <w:r>
        <w:t xml:space="preserve">14.1 Avtalet gäller från det att båda parter har undertecknat det och så länge biträdet behandlar personuppgifter för lärosätets räkning. Bestämmelserna om konfidentialitet, radering och ansvar gäller även därefter.</w:t>
      </w:r>
    </w:p>
    <w:p>
      <w:pPr>
        <w:spacing w:after="120"/>
      </w:pPr>
      <w:r>
        <w:t xml:space="preserve">14.2 Ändringar och tillägg ska göras skriftligen och undertecknas av båda parter. Lärosätet får dock ensidigt uppdatera instruktionen i Bilaga 1 om ändringen inte väsentligt utvidgar biträdets åtaganden.</w:t>
      </w:r>
    </w:p>
    <w:p>
      <w:pPr>
        <w:spacing w:after="120"/>
      </w:pPr>
      <w:r>
        <w:t xml:space="preserve">14.3 Om detta avtal strider mot huvudavtalet eller mot biträdets allmänna villkor har detta avtal företräde i frågor som rör behandling av personuppgifter.</w:t>
      </w:r>
    </w:p>
    <w:p>
      <w:pPr>
        <w:pStyle w:val="Heading1"/>
      </w:pPr>
      <w:r>
        <w:t xml:space="preserve">15. Tillämplig lag och tvister</w:t>
      </w:r>
    </w:p>
    <w:p>
      <w:pPr>
        <w:spacing w:after="120"/>
      </w:pPr>
      <w:r>
        <w:t xml:space="preserve">15.1 Svensk lag ska tillämpas på avtalet. Tvister ska avgöras av allmän domstol med </w:t>
      </w:r>
      <w:r>
        <w:rPr>
          <w:highlight w:val="yellow"/>
          <w:highlightCs w:val="yellow"/>
        </w:rPr>
        <w:t xml:space="preserve">[ort]</w:t>
      </w:r>
      <w:r>
        <w:t xml:space="preserve"> tingsrätt som första instans.</w:t>
      </w:r>
    </w:p>
    <w:p>
      <w:pPr>
        <w:pStyle w:val="Heading1"/>
      </w:pPr>
      <w:r>
        <w:t xml:space="preserve">16. Underskrifter</w:t>
      </w:r>
    </w:p>
    <w:p>
      <w:pPr>
        <w:spacing w:after="120"/>
      </w:pPr>
      <w:r>
        <w:rPr>
          <w:highlight w:val="yellow"/>
          <w:highlightCs w:val="yellow"/>
        </w:rPr>
        <w:t xml:space="preserve">[Välj: Avtalet har upprättats i två likalydande exemplar, av vilka parterna har tagit var sitt. / Avtalet har undertecknats elektroniskt.]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För lärosätet</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För biträdet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Ort och datum: </w:t>
            </w:r>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Ort och datum: </w:t>
            </w:r>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Namnteckning: </w:t>
            </w:r>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Namnteckning: </w:t>
            </w:r>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Namnförtydligande och befattning: </w:t>
            </w:r>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Namnförtydligande och befattning: </w:t>
            </w:r>
            <w:r>
              <w:rPr>
                <w:highlight w:val="yellow"/>
                <w:highlightCs w:val="yellow"/>
              </w:rPr>
              <w:t xml:space="preserve">[ ]</w:t>
            </w:r>
          </w:p>
        </w:tc>
      </w:tr>
    </w:tbl>
    <w:p/>
    <w:p>
      <w:pPr>
        <w:pStyle w:val="Heading1"/>
      </w:pPr>
      <w:r>
        <w:t xml:space="preserve">Bilaga 1. Instruktion för behandlingen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Uppgift</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Beskrivning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föremål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[Vilken tjänst eller vilket uppdrag behandlingen avser]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Ändamål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[Varför personuppgifterna behandlas, till exempel att tillhandahålla lärplattform för undervisning]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art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lagring, insamling, strukturering, transkribering, analys, radering]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registrerade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studenter, anställda, forskningspersoner, externa föreläsare]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Typer av personuppgifter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namn, e-post, personnummer, studieresultat, ljudinspelningar, IP-adresser, loggdata]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Särskilda kategorier eller lagöverträdelser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[Ange om sådana uppgifter förekommer, eller ”Förekommer inte”, och vilka extra skyddsåtgärder som gäller]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Varaktighet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[Huvudavtalets löptid eller ange period]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Lagringstid hos biträdet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raderas 30 dagar efter att användarkontot avslutats; ljudfiler raderas direkt efter transkribering]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Plats för behandling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[Länder där behandling och lagring får ske, till exempel endast Sverige eller EU/EES]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 för biträdets egna ändamål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[Ej tillåten / Tillåten endast för: ange, till exempel driftsäkerhet. Träning av AI-modeller med lärosätets uppgifter är inte tillåten.]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Särskilda instruktioner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krav på pseudonymisering, loggning av åtkomst, begränsning av supportåtkomst]</w:t>
            </w:r>
          </w:p>
        </w:tc>
      </w:tr>
    </w:tbl>
    <w:p/>
    <w:p>
      <w:pPr>
        <w:pStyle w:val="Heading1"/>
      </w:pPr>
      <w:r>
        <w:t xml:space="preserve">Bilaga 2. Säkerhetsåtgärder</w:t>
      </w:r>
    </w:p>
    <w:p>
      <w:pPr>
        <w:spacing w:after="120"/>
      </w:pPr>
      <w:r>
        <w:t xml:space="preserve">Biträdet ska minst vidta följande åtgärder. Ange konkret nivå där det går.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Område</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Krav</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Kryptering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[Kryptering vid överföring (minst TLS 1.2) och vid lagring. Ange vem som förvaltar nycklarna.]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Behörighet och autentisering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[Behörighetstilldelning efter behov, flerfaktorsautentisering för administratörer, stöd för lärosätets inloggning via SAML/OIDC]</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Loggning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[Loggning av åtkomst och administrativa åtgärder, lagringstid för loggar, lärosätets tillgång till loggar]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Säkerhetskopiering och kontinuitet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[Frekvens, plats, återställningstest, mål för återställningstid]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Sårbarhetshantering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[Rutin för uppdateringar, penetrationstester, tid för åtgärd av kritiska sårbarheter]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Fysisk säkerhet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[Krav på datacenter]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Personal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[Bakgrundskontroll där det är lämpligt, utbildning i informationssäkerhet och dataskydd]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Certifieringar och rapporter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ISO/IEC 27001 eller motsvarande tredjepartsrapport, och hur ofta de lämnas]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Övrigt</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[Lärosätets egna krav enligt informationsklassning]</w:t>
            </w:r>
          </w:p>
        </w:tc>
      </w:tr>
    </w:tbl>
    <w:p/>
    <w:p>
      <w:pPr>
        <w:pStyle w:val="Heading1"/>
      </w:pPr>
      <w:r>
        <w:t xml:space="preserve">Bilaga 3. Godkända underbiträden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986"/>
        <w:gridCol w:w="1986"/>
        <w:gridCol w:w="1444"/>
        <w:gridCol w:w="1805"/>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Namn och org.nr</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Adress och kontaktperson</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 som utförs</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Land för behandling</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Överföringsgrund (om utanför EU/EES)</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Bilaga 4. Tredjelandsöverföringar</w:t>
      </w:r>
    </w:p>
    <w:p>
      <w:pPr>
        <w:spacing w:after="120"/>
      </w:pPr>
      <w:r>
        <w:rPr>
          <w:highlight w:val="yellow"/>
          <w:highlightCs w:val="yellow"/>
        </w:rPr>
        <w:t xml:space="preserve">[Om inga överföringar är tillåtna: ”Inga överföringar till tredjeland eller internationella organisationer är tillåtna, och personuppgifterna får inte göras åtkomliga från tredjeland.” Fyll annars i tabellen.]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264"/>
        <w:gridCol w:w="2166"/>
        <w:gridCol w:w="1986"/>
        <w:gridCol w:w="1805"/>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Mottagare</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Land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Ändamål och typ av åtkomst</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Överföringsgrund (kapitel V)</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Kompletterande åtgärder</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supportåtkomst vid behov]</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[Adekvansbeslut / standardavtalsklausuler 2021/914, ange modul]</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kryptering med nycklar inom EU]</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Mall från validemic.com. Mallen utgör inte juridisk rådgivning. Låt er jurist eller ert dataskyddsombud granska den innan ni använder den.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Personuppgiftsbiträdesavtal</dc:title>
  <dc:creator>Validemic</dc:creator>
  <cp:lastModifiedBy>Un-named</cp:lastModifiedBy>
  <cp:revision>1</cp:revision>
  <dcterms:created xsi:type="dcterms:W3CDTF">2026-10-07T02:31:32.881Z</dcterms:created>
  <dcterms:modified xsi:type="dcterms:W3CDTF">2026-10-07T02:31:32.881Z</dcterms:modified>
</cp:coreProperties>
</file>

<file path=docProps/custom.xml><?xml version="1.0" encoding="utf-8"?>
<Properties xmlns="http://schemas.openxmlformats.org/officeDocument/2006/custom-properties" xmlns:vt="http://schemas.openxmlformats.org/officeDocument/2006/docPropsVTypes"/>
</file>