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Registo de atividades de tratamento: modelo para instituições de ensino superior</w:t>
      </w:r>
    </w:p>
    <w:p>
      <w:pPr>
        <w:spacing w:after="240"/>
      </w:pPr>
      <w:r>
        <w:rPr>
          <w:color w:val="64748B"/>
        </w:rPr>
        <w:t xml:space="preserve">Artigo 30.º do RGPD. Parte 1: identificação do responsável · Parte 2: registo como responsável pelo tratamento (art. 30.º, n.º 1) · Parte 3: registo como subcontratante (art. 30.º, n.º 2) · Parte 4: histórico de alterações. Versão 1.0, outubro de 2026 · validemic.com/modelos/registo-atividades-tratamento/</w:t>
      </w:r>
    </w:p>
    <w:p>
      <w:pPr>
        <w:pBdr>
          <w:left w:val="single" w:color="F59E0B" w:sz="18" w:space="8"/>
        </w:pBdr>
        <w:shd w:fill="FFFBEB" w:color="auto" w:val="clear"/>
        <w:spacing w:after="160" w:before="120"/>
      </w:pPr>
      <w:r>
        <w:rPr>
          <w:i/>
          <w:iCs/>
        </w:rPr>
        <w:t xml:space="preserve">As três linhas preenchidas em cada tabela são EXEMPLOS. Mostram o nível de detalhe esperado e não descrevem os tratamentos de nenhuma instituição real. Substitua-as pelos seus próprios registos e apague as linhas de exemplo antes de utilizar o documento.</w:t>
      </w:r>
    </w:p>
    <w:p>
      <w:pPr>
        <w:pStyle w:val="Heading1"/>
      </w:pPr>
      <w:r>
        <w:t xml:space="preserve">Instruções</w:t>
      </w:r>
    </w:p>
    <w:p>
      <w:pPr>
        <w:pStyle w:val="ListParagraph"/>
        <w:numPr>
          <w:ilvl w:val="0"/>
          <w:numId w:val="2"/>
        </w:numPr>
      </w:pPr>
      <w:r>
        <w:rPr>
          <w:b/>
          <w:bCs/>
        </w:rPr>
        <w:t xml:space="preserve">Quem conserva o registo.</w:t>
      </w:r>
      <w:r>
        <w:t xml:space="preserve"> O artigo 30.º, n.º 1, do RGPD obriga cada responsável pelo tratamento a conservar um registo de todas as atividades de tratamento sob a sua responsabilidade. O n.º 2 obriga cada subcontratante a conservar um registo das categorias de atividades que realiza por conta de responsáveis pelo tratamento. Uma universidade é, em regra, responsável pelo tratamento e, por vezes, também subcontratante. Nesse caso, a CNPD indica que devem ser mantidos dois registos diferenciados (Partes 2 e 3).</w:t>
      </w:r>
    </w:p>
    <w:p>
      <w:pPr>
        <w:pStyle w:val="ListParagraph"/>
        <w:numPr>
          <w:ilvl w:val="0"/>
          <w:numId w:val="2"/>
        </w:numPr>
      </w:pPr>
      <w:r>
        <w:rPr>
          <w:b/>
          <w:bCs/>
        </w:rPr>
        <w:t xml:space="preserve">Uma linha por atividade de tratamento.</w:t>
      </w:r>
      <w:r>
        <w:t xml:space="preserve"> Descreva as atividades pela finalidade (por exemplo «gestão de matrículas e inscrições») e não pelo sistema informático. Um sistema pode servir várias atividades e uma atividade pode usar vários sistemas.</w:t>
      </w:r>
    </w:p>
    <w:p>
      <w:pPr>
        <w:pStyle w:val="ListParagraph"/>
        <w:numPr>
          <w:ilvl w:val="0"/>
          <w:numId w:val="2"/>
        </w:numPr>
      </w:pPr>
      <w:r>
        <w:rPr>
          <w:b/>
          <w:bCs/>
        </w:rPr>
        <w:t xml:space="preserve">Campos obrigatórios e recomendados.</w:t>
      </w:r>
      <w:r>
        <w:t xml:space="preserve"> As colunas com referência ao artigo 30.º são exigidas pelo RGPD. As colunas assinaladas como «recomendado» não são exigidas pelo artigo 30.º, mas ajudam a demonstrar a conformidade (artigo 5.º, n.º 2) e a ligar o registo às avaliações de fornecedores, aos contratos de subcontratação e às AIPD.</w:t>
      </w:r>
    </w:p>
    <w:p>
      <w:pPr>
        <w:pStyle w:val="ListParagraph"/>
        <w:numPr>
          <w:ilvl w:val="0"/>
          <w:numId w:val="2"/>
        </w:numPr>
      </w:pPr>
      <w:r>
        <w:rPr>
          <w:b/>
          <w:bCs/>
        </w:rPr>
        <w:t xml:space="preserve">Forma.</w:t>
      </w:r>
      <w:r>
        <w:t xml:space="preserve"> O registo é efetuado por escrito, incluindo em formato eletrónico (artigo 30.º, n.º 3). Uma folha de cálculo ou uma aplicação de gestão é adequada; esta versão em Word serve de ponto de partida. A CNPD disponibiliza também modelos em Excel.</w:t>
      </w:r>
    </w:p>
    <w:p>
      <w:pPr>
        <w:pStyle w:val="ListParagraph"/>
        <w:numPr>
          <w:ilvl w:val="0"/>
          <w:numId w:val="2"/>
        </w:numPr>
      </w:pPr>
      <w:r>
        <w:rPr>
          <w:b/>
          <w:bCs/>
        </w:rPr>
        <w:t xml:space="preserve">Autoridade de controlo.</w:t>
      </w:r>
      <w:r>
        <w:t xml:space="preserve"> O registo é disponibilizado à CNPD a pedido (artigo 30.º, n.º 4).</w:t>
      </w:r>
    </w:p>
    <w:p>
      <w:pPr>
        <w:pStyle w:val="ListParagraph"/>
        <w:numPr>
          <w:ilvl w:val="0"/>
          <w:numId w:val="2"/>
        </w:numPr>
      </w:pPr>
      <w:r>
        <w:rPr>
          <w:b/>
          <w:bCs/>
        </w:rPr>
        <w:t xml:space="preserve">A exceção para menos de 250 trabalhadores não se aplica, na prática, às universidades.</w:t>
      </w:r>
      <w:r>
        <w:t xml:space="preserve"> O artigo 30.º, n.º 5, só dispensa organizações com menos de 250 trabalhadores quando o tratamento for ocasional, não for suscetível de implicar risco e não abranger categorias especiais de dados ou dados relativos a condenações penais e infrações. A CNPD considera absolutamente excecionais as situações em que a derrogação se aplica.</w:t>
      </w:r>
    </w:p>
    <w:p>
      <w:pPr>
        <w:pStyle w:val="ListParagraph"/>
        <w:numPr>
          <w:ilvl w:val="0"/>
          <w:numId w:val="2"/>
        </w:numPr>
      </w:pPr>
      <w:r>
        <w:rPr>
          <w:b/>
          <w:bCs/>
        </w:rPr>
        <w:t xml:space="preserve">Prazos de conservação.</w:t>
      </w:r>
      <w:r>
        <w:t xml:space="preserve"> Nos termos do artigo 21.º da Lei n.º 58/2019, o prazo é o fixado por norma legal ou regulamentar ou, na sua falta, o necessário para a finalidade. Indique a norma ou o regulamento interno sempre que exista.</w:t>
      </w:r>
    </w:p>
    <w:p>
      <w:pPr>
        <w:pStyle w:val="ListParagraph"/>
        <w:numPr>
          <w:ilvl w:val="0"/>
          <w:numId w:val="2"/>
        </w:numPr>
      </w:pPr>
      <w:r>
        <w:rPr>
          <w:b/>
          <w:bCs/>
        </w:rPr>
        <w:t xml:space="preserve">Manter atualizado.</w:t>
      </w:r>
      <w:r>
        <w:t xml:space="preserve"> Atualize o registo sempre que mude uma finalidade, uma categoria de dados, um destinatário, um fornecedor, uma transferência ou um prazo, e reveja-o na íntegra pelo menos uma vez por ano. Registe as alterações na Parte 4.</w:t>
      </w:r>
    </w:p>
    <w:p>
      <w:pPr>
        <w:pStyle w:val="Heading1"/>
      </w:pPr>
      <w:r>
        <w:t xml:space="preserve">Parte 1. Identificação do responsável pelo tratamento (art. 30.º, n.º 1, alínea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791"/>
        <w:gridCol w:w="5235"/>
      </w:tblGrid>
      <w:tr>
        <w:trPr>
          <w:tblHeader/>
        </w:trPr>
        <w:tc>
          <w:tcPr>
            <w:tcW w:type="dxa" w:w="379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Campo</w:t>
            </w:r>
          </w:p>
        </w:tc>
        <w:tc>
          <w:tcPr>
            <w:tcW w:type="dxa" w:w="523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Conteúdo</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Responsável pelo tratamento (denominação, NIPC, morada, contactos)</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[denominação legal da instituição, NIPC, morada, contacto geral]</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Responsáveis conjuntos, se aplicável</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[nome e contactos, ou «ver linha da atividade»]</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Representante do responsável, se aplicável</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[em regra não aplicável a instituições estabelecidas na UE]</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Encarregado da proteção de dados (EPD)</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[nome ou função, correio eletrónico, telefone]</w:t>
            </w:r>
          </w:p>
        </w:tc>
      </w:tr>
      <w:tr>
        <w:tc>
          <w:tcPr>
            <w:tcW w:type="dxa" w:w="3791"/>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Responsável interno pelo registo e data da última revisão integral</w:t>
            </w:r>
          </w:p>
        </w:tc>
        <w:tc>
          <w:tcPr>
            <w:tcW w:type="dxa" w:w="523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[nome ou função]</w:t>
            </w:r>
            <w:r>
              <w:t xml:space="preserve">, </w:t>
            </w:r>
            <w:r>
              <w:rPr>
                <w:highlight w:val="yellow"/>
                <w:highlightCs w:val="yellow"/>
              </w:rPr>
              <w:t xml:space="preserve">[data]</w:t>
            </w:r>
          </w:p>
        </w:tc>
      </w:tr>
    </w:tbl>
    <w:p/>
    <w:p>
      <w:pPr>
        <w:pStyle w:val="Heading1"/>
      </w:pPr>
      <w:r>
        <w:t xml:space="preserve">Parte 2. Registo das atividades de tratamento como responsável pelo tratamento (art. 30.º, n.º 1)</w:t>
      </w:r>
    </w:p>
    <w:p>
      <w:pPr>
        <w:pStyle w:val="Heading2"/>
      </w:pPr>
      <w:r>
        <w:t xml:space="preserve">Tabela 2A. Finalidades, titulares e dados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2708"/>
        <w:gridCol w:w="2347"/>
        <w:gridCol w:w="2888"/>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N.º</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Atividade e finalidade (al. b))</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Categorias de titulares (al. c))</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Categorias de dados pessoais (al. c))</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T-01</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Gestão académica: matrículas, inscrições em unidades curriculares, registo de avaliações e emissão de certidões e diplomas.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Estudantes; antigos estudantes.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Identificação e contactos; número de estudante; percurso académico e classificações; dados de pagamento de propinas; </w:t>
            </w:r>
            <w:r>
              <w:rPr>
                <w:highlight w:val="yellow"/>
                <w:highlightCs w:val="yellow"/>
              </w:rPr>
              <w:t xml:space="preserve">[dados de saúde apenas para estatutos especiais, quando necessários]</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T-02</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Projeto de investigação </w:t>
            </w:r>
            <w:r>
              <w:rPr>
                <w:highlight w:val="yellow"/>
                <w:highlightCs w:val="yellow"/>
              </w:rPr>
              <w:t xml:space="preserve">[referência]</w:t>
            </w:r>
            <w:r>
              <w:t xml:space="preserve">: entrevistas semiestruturadas a docentes do ensino básico sobre carga de trabalho, com gravação áudio e transcrição.</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Participantes no estudo; investigadores do projeto.</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Nome e contactos; registos de consentimento; gravações áudio; transcrições; função e escola (pseudonimizadas na análise).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T-03</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Ensino à distância: plataforma de aprendizagem e videoconferência para aulas, entrega de trabalhos e avaliação.</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Estudantes; docentes.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Identificação e conta institucional; conteúdos submetidos; participação em fóruns; registos de acesso; imagem e voz nas sessões gravadas.</w:t>
            </w:r>
          </w:p>
        </w:tc>
      </w:tr>
    </w:tbl>
    <w:p/>
    <w:p>
      <w:pPr>
        <w:pStyle w:val="Heading2"/>
      </w:pPr>
      <w:r>
        <w:t xml:space="preserve">Tabela 2B. Destinatários, transferências, prazos e segurança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986"/>
        <w:gridCol w:w="2166"/>
        <w:gridCol w:w="1805"/>
        <w:gridCol w:w="1986"/>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N.º</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Destinatários (al. 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Transferências para países terceiros e garantias (al. 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Prazos de apagamento (al. f))</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Medidas de segurança (al. g))</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T-01</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Serviços académicos; docentes da unidade curricular; </w:t>
            </w:r>
            <w:r>
              <w:rPr>
                <w:highlight w:val="yellow"/>
                <w:highlightCs w:val="yellow"/>
              </w:rPr>
              <w:t xml:space="preserve">[entidades públicas a quem a lei imponha comunicação]</w:t>
            </w:r>
            <w:r>
              <w:t xml:space="preserve">; subcontratante: fornecedor do sistema de gestão académica </w:t>
            </w:r>
            <w:r>
              <w:rPr>
                <w:highlight w:val="yellow"/>
                <w:highlightCs w:val="yellow"/>
              </w:rPr>
              <w:t xml:space="preserve">[nome]</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Nenhuma, desde que o fornecedor e os seus subcontratantes ulteriores tratem e acedam aos dados apenas no EEE </w:t>
            </w:r>
            <w:r>
              <w:rPr>
                <w:highlight w:val="yellow"/>
                <w:highlightCs w:val="yellow"/>
              </w:rPr>
              <w:t xml:space="preserve">[confirmar na avaliação do fornecedor]</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[Segundo a norma aplicável ou o regulamento interno de conservação; indicar a referência.]</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Autenticação institucional com fator adicional; perfis de acesso por serviço; cifragem; ver política de segurança </w:t>
            </w:r>
            <w:r>
              <w:rPr>
                <w:highlight w:val="yellow"/>
                <w:highlightCs w:val="yellow"/>
              </w:rPr>
              <w:t xml:space="preserve">[ref.]</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T-02</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Investigadores do projeto; subcontratante: serviço de transcrição </w:t>
            </w:r>
            <w:r>
              <w:rPr>
                <w:highlight w:val="yellow"/>
                <w:highlightCs w:val="yellow"/>
              </w:rPr>
              <w:t xml:space="preserve">[nome]</w:t>
            </w:r>
            <w:r>
              <w:t xml:space="preserve">; </w:t>
            </w:r>
            <w:r>
              <w:rPr>
                <w:highlight w:val="yellow"/>
                <w:highlightCs w:val="yellow"/>
              </w:rPr>
              <w:t xml:space="preserve">[coinvestigadores de instituição parceira, ao abrigo do acordo ref.]</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Subcontratante ulterior do serviço de transcrição em </w:t>
            </w:r>
            <w:r>
              <w:rPr>
                <w:highlight w:val="yellow"/>
                <w:highlightCs w:val="yellow"/>
              </w:rPr>
              <w:t xml:space="preserve">[país]</w:t>
            </w:r>
            <w:r>
              <w:t xml:space="preserve">: </w:t>
            </w:r>
            <w:r>
              <w:rPr>
                <w:highlight w:val="yellow"/>
                <w:highlightCs w:val="yellow"/>
              </w:rPr>
              <w:t xml:space="preserve">[decisão de adequação / Data Privacy Framework / cláusulas contratuais-tipo com avaliação ref.]</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Gravações apagadas após verificação da transcrição; transcrições pseudonimizadas conservadas segundo o plano de gestão de dados </w:t>
            </w:r>
            <w:r>
              <w:rPr>
                <w:highlight w:val="yellow"/>
                <w:highlightCs w:val="yellow"/>
              </w:rPr>
              <w:t xml:space="preserve">[ref.]</w:t>
            </w:r>
            <w:r>
              <w:t xml:space="preserve">.</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Armazenamento institucional aprovado; chave de pseudonimização guardada em separado; acesso só a investigadores nomeados.</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T-03</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Docentes e serviços de apoio ao ensino; subcontratantes: fornecedores da plataforma de aprendizagem e da videoconferência </w:t>
            </w:r>
            <w:r>
              <w:rPr>
                <w:highlight w:val="yellow"/>
                <w:highlightCs w:val="yellow"/>
              </w:rPr>
              <w:t xml:space="preserve">[nomes]</w:t>
            </w:r>
            <w:r>
              <w:t xml:space="preserv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[Nenhuma / indicar por fornecedor e subcontratante ulterior.]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[Gravações apagadas X meses após o fim do semestre; conteúdos da unidade curricular conservados pelo prazo definido.]</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Configurações de privacidade predefinidas; gravação apenas quando necessária e anunciada; registo de acessos.</w:t>
            </w:r>
          </w:p>
        </w:tc>
      </w:tr>
    </w:tbl>
    <w:p/>
    <w:p>
      <w:pPr>
        <w:pStyle w:val="Heading2"/>
      </w:pPr>
      <w:r>
        <w:t xml:space="preserve">Tabela 2C. Campos recomendados (não exigidos pelo art. 30.º)</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805"/>
        <w:gridCol w:w="1625"/>
        <w:gridCol w:w="1625"/>
        <w:gridCol w:w="1264"/>
        <w:gridCol w:w="1625"/>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N.º</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Fundamento de licitude (art. 6.º e, se aplicável, art. 9.º)</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Sistemas e fornecedores</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Avaliação do fornecedor e contrato de subcontratação (ref.)</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AIPD (necessária? ref.)</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Responsável interno e última revisão</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T-01</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6.º, n.º 1, alíneas c) e e); indicar a norma legal ou estatutária.]</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Sistema de gestão académica </w:t>
            </w:r>
            <w:r>
              <w:rPr>
                <w:highlight w:val="yellow"/>
                <w:highlightCs w:val="yellow"/>
              </w:rPr>
              <w:t xml:space="preserve">[nome]</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[AF-2026-014; contrato de subcontratação de data.]</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[Não; justificação registada em data.]</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[Direção dos serviços académicos]</w:t>
            </w:r>
            <w:r>
              <w:t xml:space="preserve">, </w:t>
            </w:r>
            <w:r>
              <w:rPr>
                <w:highlight w:val="yellow"/>
                <w:highlightCs w:val="yellow"/>
              </w:rPr>
              <w:t xml:space="preserve">[data]</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6.º, n.º 1, alínea e) ou a), conforme a política da instituição; art. 9.º não aplicável.]</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Armazenamento institucional; serviço de transcrição </w:t>
            </w:r>
            <w:r>
              <w:rPr>
                <w:highlight w:val="yellow"/>
                <w:highlightCs w:val="yellow"/>
              </w:rPr>
              <w:t xml:space="preserve">[nome]</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[AF-2026-021; contrato ref.]</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[Triagem feita; AIPD não necessária / ref.]</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[Investigador responsável]</w:t>
            </w:r>
            <w:r>
              <w:t xml:space="preserve">, </w:t>
            </w:r>
            <w:r>
              <w:rPr>
                <w:highlight w:val="yellow"/>
                <w:highlightCs w:val="yellow"/>
              </w:rPr>
              <w:t xml:space="preserve">[data]</w:t>
            </w:r>
            <w:r>
              <w:t xml:space="preserv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T-03</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6.º, n.º 1, alínea 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Plataforma de aprendizagem </w:t>
            </w:r>
            <w:r>
              <w:rPr>
                <w:highlight w:val="yellow"/>
                <w:highlightCs w:val="yellow"/>
              </w:rPr>
              <w:t xml:space="preserve">[nome]</w:t>
            </w:r>
            <w:r>
              <w:t xml:space="preserve">; videoconferência </w:t>
            </w:r>
            <w:r>
              <w:rPr>
                <w:highlight w:val="yellow"/>
                <w:highlightCs w:val="yellow"/>
              </w:rPr>
              <w:t xml:space="preserve">[nome]</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[AF-2025-007; AF-2025-009.]</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[Sim, ref. AIPD-2025-03.]</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[Serviços de ensino à distância]</w:t>
            </w:r>
            <w:r>
              <w:t xml:space="preserve">, </w:t>
            </w:r>
            <w:r>
              <w:rPr>
                <w:highlight w:val="yellow"/>
                <w:highlightCs w:val="yellow"/>
              </w:rPr>
              <w:t xml:space="preserve">[data]</w:t>
            </w:r>
            <w:r>
              <w:t xml:space="preserve">.</w:t>
            </w:r>
          </w:p>
        </w:tc>
      </w:tr>
    </w:tbl>
    <w:p/>
    <w:p>
      <w:pPr>
        <w:pStyle w:val="Heading1"/>
      </w:pPr>
      <w:r>
        <w:t xml:space="preserve">Parte 3. Registo como subcontratante (art. 30.º, n.º 2)</w:t>
      </w:r>
    </w:p>
    <w:p>
      <w:pPr>
        <w:spacing w:after="120"/>
      </w:pPr>
      <w:r>
        <w:t xml:space="preserve">Preencha esta parte se a instituição tratar dados pessoais por conta de outra entidade, por exemplo uma unidade de serviços que analisa dados para um grupo de investigação externo segundo as instruções deste, ou serviços informáticos que alojam um sistema para uma entidade jurídica distinta.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1986"/>
        <w:gridCol w:w="1805"/>
        <w:gridCol w:w="1444"/>
        <w:gridCol w:w="1444"/>
        <w:gridCol w:w="1264"/>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N.º</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Responsável por conta de quem atua (nome, contactos, EPD) (al. a))</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Categorias de tratamentos efetuados (al. b))</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Transferências para países terceiros (al. c))</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Medidas de segurança (al. d))</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Subcontratantes ulteriores (recomendado)</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S-01</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[Centro de investigação externo, contactos, EPD]</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Sequenciação e análise laboratorial de amostras pseudonimizadas segundo o protocolo do cliente.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Nenhuma.</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Laboratório de acesso controlado; dados pseudonimizados; armazenamento isolado.</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[Nenhum / nome]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S-02</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[Associação académica, contactos]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Alojamento e manutenção do sistema de gestão de sócios.</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Nenhuma.</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 política de segurança </w:t>
            </w:r>
            <w:r>
              <w:rPr>
                <w:highlight w:val="yellow"/>
                <w:highlightCs w:val="yellow"/>
              </w:rPr>
              <w:t xml:space="preserve">[ref.]</w:t>
            </w:r>
            <w:r>
              <w:t xml:space="preserve">.</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[Fornecedor de alojamento, nome]</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EXEMPLO S-03</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[Entidade pública, contactos, EPD]</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Aplicação de um inquérito por conta da entidade e entrega dos resultados.</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[Nenhuma / indicar.]</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Plataforma de inquéritos aprovada; acesso restrito à equipa do projeto.</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[Fornecedor da plataforma, nome]</w:t>
            </w:r>
          </w:p>
        </w:tc>
      </w:tr>
    </w:tbl>
    <w:p/>
    <w:p>
      <w:pPr>
        <w:pStyle w:val="Heading1"/>
      </w:pPr>
      <w:r>
        <w:t xml:space="preserve">Parte 4. Histórico de alterações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64"/>
        <w:gridCol w:w="903"/>
        <w:gridCol w:w="1986"/>
        <w:gridCol w:w="2166"/>
        <w:gridCol w:w="2708"/>
      </w:tblGrid>
      <w:tr>
        <w:trPr>
          <w:tblHeader/>
        </w:trPr>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Versão</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Quem registou</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Linhas ou partes alteradas</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Motivo</w:t>
            </w:r>
          </w:p>
        </w:tc>
      </w:tr>
      <w:tr>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1.0</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[nome ou função]</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[todas]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Criação do registo.</w:t>
            </w:r>
          </w:p>
        </w:tc>
      </w:tr>
      <w:tr>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[data]</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[1.1]</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 T-02]</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[ex.: novo subcontratante ulterior notificado pelo fornecedor]</w:t>
            </w:r>
          </w:p>
        </w:tc>
      </w:tr>
      <w:tr>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Bdr>
          <w:left w:val="single" w:color="F59E0B" w:sz="18" w:space="8"/>
        </w:pBdr>
        <w:shd w:fill="FFFBEB" w:color="auto" w:val="clear"/>
        <w:spacing w:after="160" w:before="120"/>
      </w:pPr>
      <w:r>
        <w:rPr>
          <w:i/>
          <w:iCs/>
        </w:rPr>
        <w:t xml:space="preserve">Este modelo segue o texto do artigo 30.º do RGPD e a página da CNPD sobre o registo de atividades de tratamento, consultados a 7 de outubro de 2026. Não constitui aconselhamento jurídico.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Modelo disponibilizado por validemic.com. Não constitui aconselhamento jurídico: antes de o utilizar, peça ao jurista ou ao EPD da sua instituição que o reveja.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Registo de atividades de tratamento: modelo para instituições de ensino superior</dc:title>
  <dc:creator>Validemic</dc:creator>
  <cp:lastModifiedBy>Un-named</cp:lastModifiedBy>
  <cp:revision>1</cp:revision>
  <dcterms:created xsi:type="dcterms:W3CDTF">2026-10-07T02:31:32.939Z</dcterms:created>
  <dcterms:modified xsi:type="dcterms:W3CDTF">2026-10-07T02:31:32.939Z</dcterms:modified>
</cp:coreProperties>
</file>

<file path=docProps/custom.xml><?xml version="1.0" encoding="utf-8"?>
<Properties xmlns="http://schemas.openxmlformats.org/officeDocument/2006/custom-properties" xmlns:vt="http://schemas.openxmlformats.org/officeDocument/2006/docPropsVTypes"/>
</file>