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Registre des activités de traitement : modèle pour les universités</w:t>
      </w:r>
    </w:p>
    <w:p>
      <w:pPr>
        <w:spacing w:after="240"/>
      </w:pPr>
      <w:r>
        <w:rPr>
          <w:color w:val="64748B"/>
        </w:rPr>
        <w:t xml:space="preserve">Article 30 du RGPD. Partie 1 : identification du responsable du traitement. Partie 2 : liste des traitements. Partie 3 : fiches de registre (art. 30, § 1). Partie 4 : registre du sous-traitant (art. 30, § 2). Partie 5 : suivi des mises à jour. Version 1.0, octobre 2026 · validemic.com/ressources/registre-des-traitements-modele/</w:t>
      </w:r>
    </w:p>
    <w:p>
      <w:pPr>
        <w:pBdr>
          <w:left w:val="single" w:color="F59E0B" w:sz="18" w:space="8"/>
        </w:pBdr>
        <w:shd w:fill="FFFBEB" w:color="auto" w:val="clear"/>
        <w:spacing w:after="160" w:before="120"/>
      </w:pPr>
      <w:r>
        <w:rPr>
          <w:i/>
          <w:iCs/>
        </w:rPr>
        <w:t xml:space="preserve">Les fiches marquées EXEMPLE sont fictives. Elles illustrent le niveau de détail attendu et ne décrivent les traitements d’aucun établissement réel. Remplacez-les par vos propres traitements et supprimez les exemples avant usage. Ce modèle ne constitue pas un conseil juridique : faites-le valider par votre DPO.</w:t>
      </w:r>
    </w:p>
    <w:p>
      <w:pPr>
        <w:pStyle w:val="Heading1"/>
      </w:pPr>
      <w:r>
        <w:t xml:space="preserve">Notice de remplissage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Qui tient le registre.</w:t>
      </w:r>
      <w:r>
        <w:t xml:space="preserve"> L’article 30, paragraphe 1, du RGPD impose à chaque responsable du traitement de tenir un registre des activités de traitement effectuées sous sa responsabilité. Le paragraphe 2 impose au sous-traitant un registre des catégories de traitements effectués pour le compte de ses clients. Un établissement est le plus souvent responsable du traitement, parfois aussi sous-traitant : tenez alors deux registres distincts, comme le recommande la CNIL.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Une fiche par finalité.</w:t>
      </w:r>
      <w:r>
        <w:t xml:space="preserve"> Identifiez les traitements par finalité (par exemple « inscriptions administratives ») et non par logiciel : un même outil sert souvent plusieurs traitements, et un traitement peut reposer sur plusieurs outils.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Mentions obligatoires et recommandées.</w:t>
      </w:r>
      <w:r>
        <w:t xml:space="preserve"> Les rubriques suivies d’une référence à l’article 30 sont exigées par le RGPD. Les rubriques marquées « recommandé » ne le sont pas, mais facilitent la démonstration de la conformité et le lien avec les contrats de sous-traitance et les AIPD.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Forme.</w:t>
      </w:r>
      <w:r>
        <w:t xml:space="preserve"> Le registre se présente sous une forme écrite, y compris électronique (art. 30, § 3). Un tableur ou un outil dédié convient ; cette version Word sert de point de départ et de liste de contrôle des champs.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Autorité de contrôle.</w:t>
      </w:r>
      <w:r>
        <w:t xml:space="preserve"> Le registre n’est pas transmis spontanément à la CNIL ; il est mis à sa disposition sur demande (art. 30, § 4).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Mise à jour.</w:t>
      </w:r>
      <w:r>
        <w:t xml:space="preserve"> Mettez la fiche à jour à chaque changement de finalité, de catégorie de données, de destinataire, de fournisseur ou de sous-traitant ultérieur, de transfert ou de durée de conservation, et procédez à une revue complète au moins une fois par an.</w:t>
      </w:r>
    </w:p>
    <w:p>
      <w:pPr>
        <w:pStyle w:val="Heading1"/>
      </w:pPr>
      <w:r>
        <w:t xml:space="preserve">Partie 1. Identification du responsable du traitement (art. 30, § 1, a)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91"/>
        <w:gridCol w:w="5235"/>
      </w:tblGrid>
      <w:tr>
        <w:trPr>
          <w:tblHeader/>
        </w:trPr>
        <w:tc>
          <w:tcPr>
            <w:tcW w:type="dxa" w:w="379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523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Contenu</w:t>
            </w:r>
          </w:p>
        </w:tc>
      </w:tr>
      <w:tr>
        <w:tc>
          <w:tcPr>
            <w:tcW w:type="dxa" w:w="379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Responsable du traitement (dénomination et coordonnées)</w:t>
            </w:r>
          </w:p>
        </w:tc>
        <w:tc>
          <w:tcPr>
            <w:tcW w:type="dxa" w:w="523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[Dénomination de l’établissement, adresse, contact général]</w:t>
            </w:r>
          </w:p>
        </w:tc>
      </w:tr>
      <w:tr>
        <w:tc>
          <w:tcPr>
            <w:tcW w:type="dxa" w:w="379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Représentant légal</w:t>
            </w:r>
          </w:p>
        </w:tc>
        <w:tc>
          <w:tcPr>
            <w:tcW w:type="dxa" w:w="523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[Nom et qualité du président ou du directeur]</w:t>
            </w:r>
          </w:p>
        </w:tc>
      </w:tr>
      <w:tr>
        <w:tc>
          <w:tcPr>
            <w:tcW w:type="dxa" w:w="379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Responsable(s) conjoint(s), le cas échéant</w:t>
            </w:r>
          </w:p>
        </w:tc>
        <w:tc>
          <w:tcPr>
            <w:tcW w:type="dxa" w:w="523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[Dénomination et coordonnées, ou « voir la fiche concernée »]</w:t>
            </w:r>
          </w:p>
        </w:tc>
      </w:tr>
      <w:tr>
        <w:tc>
          <w:tcPr>
            <w:tcW w:type="dxa" w:w="379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Représentant dans l’Union, le cas échéant</w:t>
            </w:r>
          </w:p>
        </w:tc>
        <w:tc>
          <w:tcPr>
            <w:tcW w:type="dxa" w:w="523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[En principe sans objet pour un établissement établi dans l’Union]</w:t>
            </w:r>
          </w:p>
        </w:tc>
      </w:tr>
      <w:tr>
        <w:tc>
          <w:tcPr>
            <w:tcW w:type="dxa" w:w="379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Délégué à la protection des données (DPO)</w:t>
            </w:r>
          </w:p>
        </w:tc>
        <w:tc>
          <w:tcPr>
            <w:tcW w:type="dxa" w:w="523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[Nom ou fonction, courriel, téléphone ; société si DPO externe]</w:t>
            </w:r>
          </w:p>
        </w:tc>
      </w:tr>
      <w:tr>
        <w:tc>
          <w:tcPr>
            <w:tcW w:type="dxa" w:w="3791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Personne chargée de la tenue du registre et date de la dernière revue complète</w:t>
            </w:r>
          </w:p>
        </w:tc>
        <w:tc>
          <w:tcPr>
            <w:tcW w:type="dxa" w:w="523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[Nom ou fonction]</w:t>
            </w:r>
            <w:r>
              <w:t xml:space="preserve">, </w:t>
            </w:r>
            <w:r>
              <w:rPr>
                <w:highlight w:val="yellow"/>
                <w:highlightCs w:val="yellow"/>
              </w:rPr>
              <w:t xml:space="preserve">[date]</w:t>
            </w:r>
          </w:p>
        </w:tc>
      </w:tr>
    </w:tbl>
    <w:p/>
    <w:p>
      <w:pPr>
        <w:pStyle w:val="Heading1"/>
      </w:pPr>
      <w:r>
        <w:t xml:space="preserve">Partie 2. Liste des traitements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3"/>
        <w:gridCol w:w="1534"/>
        <w:gridCol w:w="2257"/>
        <w:gridCol w:w="1986"/>
        <w:gridCol w:w="1083"/>
        <w:gridCol w:w="1083"/>
      </w:tblGrid>
      <w:tr>
        <w:trPr>
          <w:tblHeader/>
        </w:trPr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Réf.</w:t>
            </w:r>
          </w:p>
        </w:tc>
        <w:tc>
          <w:tcPr>
            <w:tcW w:type="dxa" w:w="153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Domaine</w:t>
            </w:r>
          </w:p>
        </w:tc>
        <w:tc>
          <w:tcPr>
            <w:tcW w:type="dxa" w:w="225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 du traitement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Service et référent</w:t>
            </w:r>
          </w:p>
        </w:tc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 de création de la fiche</w:t>
            </w:r>
          </w:p>
        </w:tc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Dernière mise à jour</w:t>
            </w:r>
          </w:p>
        </w:tc>
      </w:tr>
      <w:tr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EXEMPLE F-01</w:t>
            </w:r>
          </w:p>
        </w:tc>
        <w:tc>
          <w:tcPr>
            <w:tcW w:type="dxa" w:w="153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Formation et vie étudiante</w:t>
            </w:r>
          </w:p>
        </w:tc>
        <w:tc>
          <w:tcPr>
            <w:tcW w:type="dxa" w:w="225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Inscriptions administratives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[Direction des études et de la vie étudiante]</w:t>
            </w:r>
          </w:p>
        </w:tc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[date]</w:t>
            </w:r>
          </w:p>
        </w:tc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[date]</w:t>
            </w:r>
          </w:p>
        </w:tc>
      </w:tr>
      <w:tr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EXEMPLE R-01</w:t>
            </w:r>
          </w:p>
        </w:tc>
        <w:tc>
          <w:tcPr>
            <w:tcW w:type="dxa" w:w="153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Recherche</w:t>
            </w:r>
          </w:p>
        </w:tc>
        <w:tc>
          <w:tcPr>
            <w:tcW w:type="dxa" w:w="225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Projet </w:t>
            </w:r>
            <w:r>
              <w:rPr>
                <w:highlight w:val="yellow"/>
                <w:highlightCs w:val="yellow"/>
              </w:rPr>
              <w:t xml:space="preserve">[référence]</w:t>
            </w:r>
            <w:r>
              <w:t xml:space="preserve"> : enquête par entretiens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[Laboratoire, porteur du projet]</w:t>
            </w:r>
          </w:p>
        </w:tc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[date]</w:t>
            </w:r>
          </w:p>
        </w:tc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[date]</w:t>
            </w:r>
          </w:p>
        </w:tc>
      </w:tr>
      <w:tr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EXEMPLE H-01</w:t>
            </w:r>
          </w:p>
        </w:tc>
        <w:tc>
          <w:tcPr>
            <w:tcW w:type="dxa" w:w="153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Ressources humaines</w:t>
            </w:r>
          </w:p>
        </w:tc>
        <w:tc>
          <w:tcPr>
            <w:tcW w:type="dxa" w:w="225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Paie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[Direction des ressources humaines]</w:t>
            </w:r>
          </w:p>
        </w:tc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[date]</w:t>
            </w:r>
          </w:p>
        </w:tc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[date]</w:t>
            </w:r>
          </w:p>
        </w:tc>
      </w:tr>
      <w:tr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EXEMPLE D-01</w:t>
            </w:r>
          </w:p>
        </w:tc>
        <w:tc>
          <w:tcPr>
            <w:tcW w:type="dxa" w:w="153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Documentation</w:t>
            </w:r>
          </w:p>
        </w:tc>
        <w:tc>
          <w:tcPr>
            <w:tcW w:type="dxa" w:w="225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Prêt et accès aux ressources documentaires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[Service commun de la documentation]</w:t>
            </w:r>
          </w:p>
        </w:tc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[date]</w:t>
            </w:r>
          </w:p>
        </w:tc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[date]</w:t>
            </w:r>
          </w:p>
        </w:tc>
      </w:tr>
      <w:tr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EXEMPLE N-01</w:t>
            </w:r>
          </w:p>
        </w:tc>
        <w:tc>
          <w:tcPr>
            <w:tcW w:type="dxa" w:w="153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Outils numériques</w:t>
            </w:r>
          </w:p>
        </w:tc>
        <w:tc>
          <w:tcPr>
            <w:tcW w:type="dxa" w:w="225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Plateforme d’enquêtes en ligne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[Direction du numérique]</w:t>
            </w:r>
          </w:p>
        </w:tc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[date]</w:t>
            </w:r>
          </w:p>
        </w:tc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[date]</w:t>
            </w:r>
          </w:p>
        </w:tc>
      </w:tr>
      <w:tr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[…]</w:t>
            </w:r>
          </w:p>
        </w:tc>
        <w:tc>
          <w:tcPr>
            <w:tcW w:type="dxa" w:w="153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[…]</w:t>
            </w:r>
          </w:p>
        </w:tc>
        <w:tc>
          <w:tcPr>
            <w:tcW w:type="dxa" w:w="225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[…]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[…]</w:t>
            </w:r>
          </w:p>
        </w:tc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[…]</w:t>
            </w:r>
          </w:p>
        </w:tc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[…]</w:t>
            </w:r>
          </w:p>
        </w:tc>
      </w:tr>
    </w:tbl>
    <w:p/>
    <w:p>
      <w:pPr>
        <w:pStyle w:val="Heading1"/>
      </w:pPr>
      <w:r>
        <w:t xml:space="preserve">Partie 3. Fiches de registre du responsable du traitement (art. 30, § 1)</w:t>
      </w:r>
    </w:p>
    <w:p>
      <w:pPr>
        <w:pStyle w:val="Heading2"/>
      </w:pPr>
      <w:r>
        <w:t xml:space="preserve">Fiche type (à dupliquer pour chaque traitement)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0"/>
        <w:gridCol w:w="5596"/>
      </w:tblGrid>
      <w:tr>
        <w:trPr>
          <w:tblHeader/>
        </w:trPr>
        <w:tc>
          <w:tcPr>
            <w:tcW w:type="dxa" w:w="343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559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Contenu</w:t>
            </w:r>
          </w:p>
        </w:tc>
      </w:tr>
      <w:tr>
        <w:tc>
          <w:tcPr>
            <w:tcW w:type="dxa" w:w="343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Référence et nom du traitement</w:t>
            </w:r>
          </w:p>
        </w:tc>
        <w:tc>
          <w:tcPr>
            <w:tcW w:type="dxa" w:w="559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[Réf.]</w:t>
            </w:r>
            <w:r>
              <w:t xml:space="preserve"> </w:t>
            </w:r>
            <w:r>
              <w:rPr>
                <w:highlight w:val="yellow"/>
                <w:highlightCs w:val="yellow"/>
              </w:rPr>
              <w:t xml:space="preserve">[Nom]</w:t>
            </w:r>
          </w:p>
        </w:tc>
      </w:tr>
      <w:tr>
        <w:tc>
          <w:tcPr>
            <w:tcW w:type="dxa" w:w="343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Responsable conjoint, le cas échéant (art. 30, § 1, a)</w:t>
            </w:r>
          </w:p>
        </w:tc>
        <w:tc>
          <w:tcPr>
            <w:tcW w:type="dxa" w:w="559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[Dénomination et coordonnées, répartition des obligations]</w:t>
            </w:r>
          </w:p>
        </w:tc>
      </w:tr>
      <w:tr>
        <w:tc>
          <w:tcPr>
            <w:tcW w:type="dxa" w:w="343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Finalité principale et sous-finalités (art. 30, § 1, b)</w:t>
            </w:r>
          </w:p>
        </w:tc>
        <w:tc>
          <w:tcPr>
            <w:tcW w:type="dxa" w:w="559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[Objectif poursuivi, formulé précisément]</w:t>
            </w:r>
          </w:p>
        </w:tc>
      </w:tr>
      <w:tr>
        <w:tc>
          <w:tcPr>
            <w:tcW w:type="dxa" w:w="343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Base légale (recommandé)</w:t>
            </w:r>
          </w:p>
        </w:tc>
        <w:tc>
          <w:tcPr>
            <w:tcW w:type="dxa" w:w="559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[Mission d’intérêt public, obligation légale, contrat, consentement, intérêt légitime : préciser]</w:t>
            </w:r>
          </w:p>
        </w:tc>
      </w:tr>
      <w:tr>
        <w:tc>
          <w:tcPr>
            <w:tcW w:type="dxa" w:w="343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Catégories de personnes concernées (art. 30, § 1, c)</w:t>
            </w:r>
          </w:p>
        </w:tc>
        <w:tc>
          <w:tcPr>
            <w:tcW w:type="dxa" w:w="559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[Étudiants, candidats, agents, participants à une recherche, lecteurs, prestataires]</w:t>
            </w:r>
          </w:p>
        </w:tc>
      </w:tr>
      <w:tr>
        <w:tc>
          <w:tcPr>
            <w:tcW w:type="dxa" w:w="343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Catégories de données (art. 30, § 1, c)</w:t>
            </w:r>
          </w:p>
        </w:tc>
        <w:tc>
          <w:tcPr>
            <w:tcW w:type="dxa" w:w="559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[Identité, coordonnées, vie scolaire ou professionnelle, données économiques, données de connexion, etc.]</w:t>
            </w:r>
          </w:p>
        </w:tc>
      </w:tr>
      <w:tr>
        <w:tc>
          <w:tcPr>
            <w:tcW w:type="dxa" w:w="343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Catégories particulières de données (art. 9) ou données d’infraction (art. 10)</w:t>
            </w:r>
          </w:p>
        </w:tc>
        <w:tc>
          <w:tcPr>
            <w:tcW w:type="dxa" w:w="559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[Non / Oui : préciser lesquelles et les garanties]</w:t>
            </w:r>
          </w:p>
        </w:tc>
      </w:tr>
      <w:tr>
        <w:tc>
          <w:tcPr>
            <w:tcW w:type="dxa" w:w="343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Source des données (recommandé)</w:t>
            </w:r>
          </w:p>
        </w:tc>
        <w:tc>
          <w:tcPr>
            <w:tcW w:type="dxa" w:w="559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[Personne concernée, autre service, organisme extérieur]</w:t>
            </w:r>
          </w:p>
        </w:tc>
      </w:tr>
      <w:tr>
        <w:tc>
          <w:tcPr>
            <w:tcW w:type="dxa" w:w="343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Destinataires internes (art. 30, § 1, d)</w:t>
            </w:r>
          </w:p>
        </w:tc>
        <w:tc>
          <w:tcPr>
            <w:tcW w:type="dxa" w:w="559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[Services et personnes habilitées]</w:t>
            </w:r>
          </w:p>
        </w:tc>
      </w:tr>
      <w:tr>
        <w:tc>
          <w:tcPr>
            <w:tcW w:type="dxa" w:w="343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Destinataires externes et sous-traitants (art. 30, § 1, d)</w:t>
            </w:r>
          </w:p>
        </w:tc>
        <w:tc>
          <w:tcPr>
            <w:tcW w:type="dxa" w:w="559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[Organismes destinataires ; sous-traitants avec leur dénomination]</w:t>
            </w:r>
          </w:p>
        </w:tc>
      </w:tr>
      <w:tr>
        <w:tc>
          <w:tcPr>
            <w:tcW w:type="dxa" w:w="343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Outils et fournisseurs utilisés (recommandé)</w:t>
            </w:r>
          </w:p>
        </w:tc>
        <w:tc>
          <w:tcPr>
            <w:tcW w:type="dxa" w:w="559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[Logiciel ou service, éditeur, référence du contrat de sous-traitance, date de vérification des sous-traitants ultérieurs]</w:t>
            </w:r>
          </w:p>
        </w:tc>
      </w:tr>
      <w:tr>
        <w:tc>
          <w:tcPr>
            <w:tcW w:type="dxa" w:w="343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Transferts hors UE (art. 30, § 1, e)</w:t>
            </w:r>
          </w:p>
        </w:tc>
        <w:tc>
          <w:tcPr>
            <w:tcW w:type="dxa" w:w="559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[Néant / destinataire, pays, outil de transfert (décision d’adéquation, clauses contractuelles types, règles d’entreprise contraignantes), y compris accès à distance]</w:t>
            </w:r>
          </w:p>
        </w:tc>
      </w:tr>
      <w:tr>
        <w:tc>
          <w:tcPr>
            <w:tcW w:type="dxa" w:w="343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Durées de conservation (art. 30, § 1, f)</w:t>
            </w:r>
          </w:p>
        </w:tc>
        <w:tc>
          <w:tcPr>
            <w:tcW w:type="dxa" w:w="559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[Par catégorie de données : durée en base active, archivage intermédiaire, sort final ; à défaut, critère retenu]</w:t>
            </w:r>
          </w:p>
        </w:tc>
      </w:tr>
      <w:tr>
        <w:tc>
          <w:tcPr>
            <w:tcW w:type="dxa" w:w="343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Mesures de sécurité (art. 30, § 1, g)</w:t>
            </w:r>
          </w:p>
        </w:tc>
        <w:tc>
          <w:tcPr>
            <w:tcW w:type="dxa" w:w="559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[Description générale : habilitations, authentification, chiffrement, journalisation, sauvegardes]</w:t>
            </w:r>
          </w:p>
        </w:tc>
      </w:tr>
      <w:tr>
        <w:tc>
          <w:tcPr>
            <w:tcW w:type="dxa" w:w="343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AIPD (recommandé)</w:t>
            </w:r>
          </w:p>
        </w:tc>
        <w:tc>
          <w:tcPr>
            <w:tcW w:type="dxa" w:w="559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[Non requise : motif / requise : référence et date / en cours]</w:t>
            </w:r>
          </w:p>
        </w:tc>
      </w:tr>
      <w:tr>
        <w:tc>
          <w:tcPr>
            <w:tcW w:type="dxa" w:w="343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Information des personnes et exercice des droits (recommandé)</w:t>
            </w:r>
          </w:p>
        </w:tc>
        <w:tc>
          <w:tcPr>
            <w:tcW w:type="dxa" w:w="559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[Lien vers la mention d’information, modalités d’exercice des droits]</w:t>
            </w:r>
          </w:p>
        </w:tc>
      </w:tr>
      <w:tr>
        <w:tc>
          <w:tcPr>
            <w:tcW w:type="dxa" w:w="343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Dates</w:t>
            </w:r>
          </w:p>
        </w:tc>
        <w:tc>
          <w:tcPr>
            <w:tcW w:type="dxa" w:w="559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[Création de la fiche]</w:t>
            </w:r>
            <w:r>
              <w:t xml:space="preserve"> </w:t>
            </w:r>
            <w:r>
              <w:rPr>
                <w:highlight w:val="yellow"/>
                <w:highlightCs w:val="yellow"/>
              </w:rPr>
              <w:t xml:space="preserve">[Dernière mise à jour]</w:t>
            </w:r>
          </w:p>
        </w:tc>
      </w:tr>
    </w:tbl>
    <w:p/>
    <w:p>
      <w:pPr>
        <w:pStyle w:val="Heading2"/>
      </w:pPr>
      <w:r>
        <w:t xml:space="preserve">EXEMPLE F-01 : inscriptions administratives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8"/>
        <w:gridCol w:w="6318"/>
      </w:tblGrid>
      <w:tr>
        <w:trPr>
          <w:tblHeader/>
        </w:trP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Contenu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Finalité (art. 30, § 1, b)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Inscrire les étudiants, gérer les droits d’inscription et les exonérations, délivrer la carte d’étudiant et les certificats de scolarité.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Base légale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[Mission d’intérêt public et obligations légales : préciser les textes applicables]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Personnes concernées (art. 30, § 1, c)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Étudiants inscrits ; le cas échéant leurs représentants légaux.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Données (art. 30, § 1, c)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État civil, coordonnées, identifiant national étudiant, parcours antérieur, situation au regard des droits d’inscription, photographie. Données relatives au handicap traitées dans une fiche distincte pour les aménagements d’études.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Destinataires (art. 30, § 1, d)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Services de scolarité et composantes ; agence comptable ; éditeur du logiciel de scolarité </w:t>
            </w:r>
            <w:r>
              <w:rPr>
                <w:highlight w:val="yellow"/>
                <w:highlightCs w:val="yellow"/>
              </w:rPr>
              <w:t xml:space="preserve">[nom]</w:t>
            </w:r>
            <w:r>
              <w:t xml:space="preserve"> (sous-traitant) ; </w:t>
            </w:r>
            <w:r>
              <w:rPr>
                <w:highlight w:val="yellow"/>
                <w:highlightCs w:val="yellow"/>
              </w:rPr>
              <w:t xml:space="preserve">[organismes destinataires prévus par les textes]</w:t>
            </w:r>
            <w:r>
              <w:t xml:space="preserve">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Transferts (art. 30, § 1, e)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[Néant, sous réserve de vérification des sous-traitants ultérieurs de l’éditeur]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Durées de conservation (art. 30, § 1, f)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[À fixer avec le service des archives et le DPO]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Mesures de sécurité (art. 30, § 1, g)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Habilitations par profil, authentification unique de l’établissement, journalisation des accès, sauvegardes </w:t>
            </w:r>
            <w:r>
              <w:rPr>
                <w:highlight w:val="yellow"/>
                <w:highlightCs w:val="yellow"/>
              </w:rPr>
              <w:t xml:space="preserve">[préciser]</w:t>
            </w:r>
            <w:r>
              <w:t xml:space="preserve">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AIPD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[Résultat de l’analyse de nécessité]</w:t>
            </w:r>
          </w:p>
        </w:tc>
      </w:tr>
    </w:tbl>
    <w:p/>
    <w:p>
      <w:pPr>
        <w:pStyle w:val="Heading2"/>
      </w:pPr>
      <w:r>
        <w:t xml:space="preserve">EXEMPLE R-01 : recherche par entretiens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8"/>
        <w:gridCol w:w="6318"/>
      </w:tblGrid>
      <w:tr>
        <w:trPr>
          <w:tblHeader/>
        </w:trP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Contenu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Finalité (art. 30, § 1, b)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Projet </w:t>
            </w:r>
            <w:r>
              <w:rPr>
                <w:highlight w:val="yellow"/>
                <w:highlightCs w:val="yellow"/>
              </w:rPr>
              <w:t xml:space="preserve">[référence]</w:t>
            </w:r>
            <w:r>
              <w:t xml:space="preserve"> : étudier </w:t>
            </w:r>
            <w:r>
              <w:rPr>
                <w:highlight w:val="yellow"/>
                <w:highlightCs w:val="yellow"/>
              </w:rPr>
              <w:t xml:space="preserve">[objet de la recherche]</w:t>
            </w:r>
            <w:r>
              <w:t xml:space="preserve"> au moyen d’entretiens semi-directifs enregistrés puis transcrits.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Base légale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[Mission d’intérêt public ou autre base retenue, avec les garanties de l’article 89]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Personnes concernées (art. 30, § 1, c)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Participants à la recherche ; membres de l’équipe de recherche.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Données (art. 30, § 1, c)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Identité et coordonnées des participants, formulaires d’information, enregistrements audio, transcriptions pseudonymisées, </w:t>
            </w:r>
            <w:r>
              <w:rPr>
                <w:highlight w:val="yellow"/>
                <w:highlightCs w:val="yellow"/>
              </w:rPr>
              <w:t xml:space="preserve">[opinions éventuelles : vérifier s’il s’agit de catégories particulières]</w:t>
            </w:r>
            <w:r>
              <w:t xml:space="preserve">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Destinataires (art. 30, § 1, d)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Équipe de recherche désignée ; service de transcription </w:t>
            </w:r>
            <w:r>
              <w:rPr>
                <w:highlight w:val="yellow"/>
                <w:highlightCs w:val="yellow"/>
              </w:rPr>
              <w:t xml:space="preserve">[nom]</w:t>
            </w:r>
            <w:r>
              <w:t xml:space="preserve"> (sous-traitant) ; membres du comité scientifique pour la validation des résultats, sur données pseudonymisées.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Transferts (art. 30, § 1, e)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[Néant / pays et outil de transfert si le service de transcription ou une équipe partenaire est hors UE]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Durées de conservation (art. 30, § 1, f)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Enregistrements supprimés après transcription et vérification ; </w:t>
            </w:r>
            <w:r>
              <w:rPr>
                <w:highlight w:val="yellow"/>
                <w:highlightCs w:val="yellow"/>
              </w:rPr>
              <w:t xml:space="preserve">[durée]</w:t>
            </w:r>
            <w:r>
              <w:t xml:space="preserve"> pour les transcriptions pseudonymisées, en cohérence avec le plan de gestion des données.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Mesures de sécurité (art. 30, § 1, g)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Stockage sur l’espace sécurisé de l’établissement, table de correspondance conservée séparément, accès limité à l’équipe désignée.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AIPD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[À examiner, notamment si les données sont sensibles ou les participants vulnérables]</w:t>
            </w:r>
          </w:p>
        </w:tc>
      </w:tr>
    </w:tbl>
    <w:p/>
    <w:p>
      <w:pPr>
        <w:pStyle w:val="Heading2"/>
      </w:pPr>
      <w:r>
        <w:t xml:space="preserve">EXEMPLE H-01 : paie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8"/>
        <w:gridCol w:w="6318"/>
      </w:tblGrid>
      <w:tr>
        <w:trPr>
          <w:tblHeader/>
        </w:trP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Contenu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Finalité (art. 30, § 1, b)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Calculer et verser les rémunérations ; effectuer les déclarations sociales et fiscales.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Base légale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[Obligations légales et exécution du contrat ou du statut : préciser]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Personnes concernées (art. 30, § 1, c)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Agents titulaires et contractuels, vacataires, </w:t>
            </w:r>
            <w:r>
              <w:rPr>
                <w:highlight w:val="yellow"/>
                <w:highlightCs w:val="yellow"/>
              </w:rPr>
              <w:t xml:space="preserve">[autres]</w:t>
            </w:r>
            <w:r>
              <w:t xml:space="preserve">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Données (art. 30, § 1, c)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Identité, numéro de sécurité sociale (NIR), coordonnées bancaires, situation familiale, éléments de rémunération, absences.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Destinataires (art. 30, § 1, d)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Direction des ressources humaines ; agence comptable ; organismes sociaux et administrations fiscales ; éditeur du logiciel de paie </w:t>
            </w:r>
            <w:r>
              <w:rPr>
                <w:highlight w:val="yellow"/>
                <w:highlightCs w:val="yellow"/>
              </w:rPr>
              <w:t xml:space="preserve">[nom]</w:t>
            </w:r>
            <w:r>
              <w:t xml:space="preserve"> (sous-traitant).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Transferts (art. 30, § 1, e)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[Néant]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Durées de conservation (art. 30, § 1, f)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[Selon les obligations légales applicables et le tableau de gestion de l’établissement]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Mesures de sécurité (art. 30, § 1, g)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Accès restreint au service paie, authentification renforcée, journalisation, chiffrement des échanges avec les organismes.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Remarque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Le NIR relève de règles nationales spécifiques (art. 87 du RGPD).</w:t>
            </w:r>
          </w:p>
        </w:tc>
      </w:tr>
    </w:tbl>
    <w:p/>
    <w:p>
      <w:pPr>
        <w:pStyle w:val="Heading2"/>
      </w:pPr>
      <w:r>
        <w:t xml:space="preserve">EXEMPLE D-01 : prêt et accès aux ressources documentaires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8"/>
        <w:gridCol w:w="6318"/>
      </w:tblGrid>
      <w:tr>
        <w:trPr>
          <w:tblHeader/>
        </w:trP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Contenu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Finalité (art. 30, § 1, b)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Inscrire les lecteurs, gérer les prêts, les réservations et les relances, donner accès à distance aux ressources électroniques.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Personnes concernées (art. 30, § 1, c)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Étudiants, personnels, lecteurs extérieurs.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Données (art. 30, § 1, c)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Identité, statut, coordonnées, prêts en cours, historique des prêts </w:t>
            </w:r>
            <w:r>
              <w:rPr>
                <w:highlight w:val="yellow"/>
                <w:highlightCs w:val="yellow"/>
              </w:rPr>
              <w:t xml:space="preserve">[préciser la durée]</w:t>
            </w:r>
            <w:r>
              <w:t xml:space="preserve">, journaux de connexion au service d’accès distant.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Destinataires (art. 30, § 1, d)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Personnel des bibliothèques ; éditeur du système de gestion de bibliothèque </w:t>
            </w:r>
            <w:r>
              <w:rPr>
                <w:highlight w:val="yellow"/>
                <w:highlightCs w:val="yellow"/>
              </w:rPr>
              <w:t xml:space="preserve">[nom]</w:t>
            </w:r>
            <w:r>
              <w:t xml:space="preserve"> (sous-traitant) ; éditeurs de ressources électroniques </w:t>
            </w:r>
            <w:r>
              <w:rPr>
                <w:highlight w:val="yellow"/>
                <w:highlightCs w:val="yellow"/>
              </w:rPr>
              <w:t xml:space="preserve">[selon le mode d’authentification et les attributs transmis]</w:t>
            </w:r>
            <w:r>
              <w:t xml:space="preserve">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Transferts (art. 30, § 1, e)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[À vérifier pour chaque éditeur de ressources électroniques]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Durées de conservation (art. 30, § 1, f)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[Durée de conservation de l’historique après retour du document ; durée des journaux]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Mesures de sécurité (art. 30, § 1, g)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Habilitations, minimisation des attributs transmis aux éditeurs, purge automatique de l’historique.</w:t>
            </w:r>
          </w:p>
        </w:tc>
      </w:tr>
    </w:tbl>
    <w:p/>
    <w:p>
      <w:pPr>
        <w:pStyle w:val="Heading2"/>
      </w:pPr>
      <w:r>
        <w:t xml:space="preserve">EXEMPLE N-01 : plateforme d’enquêtes en ligne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8"/>
        <w:gridCol w:w="6318"/>
      </w:tblGrid>
      <w:tr>
        <w:trPr>
          <w:tblHeader/>
        </w:trP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Contenu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Finalité (art. 30, § 1, b)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Mettre à disposition des personnels un outil de questionnaires en ligne pour les enquêtes institutionnelles. Chaque enquête de recherche fait l’objet de sa propre fiche.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Personnes concernées (art. 30, § 1, c)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Répondants (étudiants, personnels, publics extérieurs) ; utilisateurs internes de la plateforme.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Données (art. 30, § 1, c)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Réponses aux questionnaires, adresse IP et données techniques, identité si l’enquête n’est pas anonyme ; comptes des utilisateurs internes.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Destinataires (art. 30, § 1, d)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Créateurs des enquêtes ; éditeur de la plateforme </w:t>
            </w:r>
            <w:r>
              <w:rPr>
                <w:highlight w:val="yellow"/>
                <w:highlightCs w:val="yellow"/>
              </w:rPr>
              <w:t xml:space="preserve">[nom]</w:t>
            </w:r>
            <w:r>
              <w:t xml:space="preserve"> (sous-traitant) et ses sous-traitants ultérieurs </w:t>
            </w:r>
            <w:r>
              <w:rPr>
                <w:highlight w:val="yellow"/>
                <w:highlightCs w:val="yellow"/>
              </w:rPr>
              <w:t xml:space="preserve">[hébergement, envoi de courriels]</w:t>
            </w:r>
            <w:r>
              <w:t xml:space="preserve">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Outils et fournisseurs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Contrat de sous-traitance </w:t>
            </w:r>
            <w:r>
              <w:rPr>
                <w:highlight w:val="yellow"/>
                <w:highlightCs w:val="yellow"/>
              </w:rPr>
              <w:t xml:space="preserve">[référence]</w:t>
            </w:r>
            <w:r>
              <w:t xml:space="preserve">, liste des sous-traitants ultérieurs vérifiée le </w:t>
            </w:r>
            <w:r>
              <w:rPr>
                <w:highlight w:val="yellow"/>
                <w:highlightCs w:val="yellow"/>
              </w:rPr>
              <w:t xml:space="preserve">[date]</w:t>
            </w:r>
            <w:r>
              <w:t xml:space="preserve">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Transferts (art. 30, § 1, e)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[Pays, destinataire et outil de transfert pour chaque sous-traitant ultérieur hors UE, y compris le support à distance]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Durées de conservation (art. 30, § 1, f)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[Durée par défaut des enquêtes, suppression des réponses à la clôture]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Mesures de sécurité (art. 30, § 1, g)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Authentification unique de l’établissement, chiffrement, paramétrage par défaut sans collecte de l’adresse IP </w:t>
            </w:r>
            <w:r>
              <w:rPr>
                <w:highlight w:val="yellow"/>
                <w:highlightCs w:val="yellow"/>
              </w:rPr>
              <w:t xml:space="preserve">[si l’outil le permet]</w:t>
            </w:r>
            <w:r>
              <w:t xml:space="preserve">.</w:t>
            </w:r>
          </w:p>
        </w:tc>
      </w:tr>
      <w:tr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AIPD</w:t>
            </w:r>
          </w:p>
        </w:tc>
        <w:tc>
          <w:tcPr>
            <w:tcW w:type="dxa" w:w="631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[Analyse de nécessité ; la CNIL estime qu’une AIPD sera probablement nécessaire dans la majorité des cas pour les outils collaboratifs de l’enseignement supérieur]</w:t>
            </w:r>
          </w:p>
        </w:tc>
      </w:tr>
    </w:tbl>
    <w:p/>
    <w:p>
      <w:pPr>
        <w:pStyle w:val="Heading1"/>
      </w:pPr>
      <w:r>
        <w:t xml:space="preserve">Partie 4. Registre du sous-traitant (art. 30, § 2)</w:t>
      </w:r>
    </w:p>
    <w:p>
      <w:pPr>
        <w:spacing w:after="120"/>
      </w:pPr>
      <w:r>
        <w:t xml:space="preserve">À remplir uniquement pour les activités que l’établissement réalise pour le compte d’un autre responsable du traitement (par exemple l’hébergement d’un service pour un établissement partenaire).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3"/>
        <w:gridCol w:w="1986"/>
        <w:gridCol w:w="1805"/>
        <w:gridCol w:w="1444"/>
        <w:gridCol w:w="1264"/>
        <w:gridCol w:w="1625"/>
      </w:tblGrid>
      <w:tr>
        <w:trPr>
          <w:tblHeader/>
        </w:trPr>
        <w:tc>
          <w:tcPr>
            <w:tcW w:type="dxa" w:w="90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Réf.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Responsable du traitement pour le compte duquel l’établissement agit (art. 30, § 2, a)</w:t>
            </w:r>
          </w:p>
        </w:tc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Catégories de traitements effectués (art. 30, § 2, b)</w:t>
            </w:r>
          </w:p>
        </w:tc>
        <w:tc>
          <w:tcPr>
            <w:tcW w:type="dxa" w:w="144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Sous-traitants ultérieurs</w:t>
            </w:r>
          </w:p>
        </w:tc>
        <w:tc>
          <w:tcPr>
            <w:tcW w:type="dxa" w:w="126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Transferts (art. 30, § 2, c)</w:t>
            </w:r>
          </w:p>
        </w:tc>
        <w:tc>
          <w:tcPr>
            <w:tcW w:type="dxa" w:w="162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Mesures de sécurité (art. 30, § 2, d)</w:t>
            </w:r>
          </w:p>
        </w:tc>
      </w:tr>
      <w:tr>
        <w:tc>
          <w:tcPr>
            <w:tcW w:type="dxa" w:w="90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[ST-01]</w:t>
            </w:r>
          </w:p>
        </w:tc>
        <w:tc>
          <w:tcPr>
            <w:tcW w:type="dxa" w:w="198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[Dénomination, coordonnées, DPO]</w:t>
            </w:r>
          </w:p>
        </w:tc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[Hébergement, maintenance, etc.]</w:t>
            </w:r>
          </w:p>
        </w:tc>
        <w:tc>
          <w:tcPr>
            <w:tcW w:type="dxa" w:w="144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[Nom, pays]</w:t>
            </w:r>
          </w:p>
        </w:tc>
        <w:tc>
          <w:tcPr>
            <w:tcW w:type="dxa" w:w="126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[Néant / pays et outil]</w:t>
            </w:r>
          </w:p>
        </w:tc>
        <w:tc>
          <w:tcPr>
            <w:tcW w:type="dxa" w:w="162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[Description générale]</w:t>
            </w:r>
          </w:p>
        </w:tc>
      </w:tr>
    </w:tbl>
    <w:p/>
    <w:p>
      <w:pPr>
        <w:pStyle w:val="Heading1"/>
      </w:pPr>
      <w:r>
        <w:t xml:space="preserve">Partie 5. Suivi des mises à jour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64"/>
        <w:gridCol w:w="1083"/>
        <w:gridCol w:w="3069"/>
        <w:gridCol w:w="2166"/>
        <w:gridCol w:w="1444"/>
      </w:tblGrid>
      <w:tr>
        <w:trPr>
          <w:tblHeader/>
        </w:trPr>
        <w:tc>
          <w:tcPr>
            <w:tcW w:type="dxa" w:w="126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Fiche</w:t>
            </w:r>
          </w:p>
        </w:tc>
        <w:tc>
          <w:tcPr>
            <w:tcW w:type="dxa" w:w="306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Modification</w:t>
            </w:r>
          </w:p>
        </w:tc>
        <w:tc>
          <w:tcPr>
            <w:tcW w:type="dxa" w:w="216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Origine (service, notification d’un fournisseur, revue annuelle)</w:t>
            </w:r>
          </w:p>
        </w:tc>
        <w:tc>
          <w:tcPr>
            <w:tcW w:type="dxa" w:w="144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Validée par</w:t>
            </w:r>
          </w:p>
        </w:tc>
      </w:tr>
      <w:tr>
        <w:tc>
          <w:tcPr>
            <w:tcW w:type="dxa" w:w="126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[date]</w:t>
            </w:r>
          </w:p>
        </w:tc>
        <w:tc>
          <w:tcPr>
            <w:tcW w:type="dxa" w:w="1083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[Réf.]</w:t>
            </w:r>
          </w:p>
        </w:tc>
        <w:tc>
          <w:tcPr>
            <w:tcW w:type="dxa" w:w="306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[Nouveau sous-traitant ultérieur, nouvelle durée de conservation, etc.]</w:t>
            </w:r>
          </w:p>
        </w:tc>
        <w:tc>
          <w:tcPr>
            <w:tcW w:type="dxa" w:w="216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[…]</w:t>
            </w:r>
          </w:p>
        </w:tc>
        <w:tc>
          <w:tcPr>
            <w:tcW w:type="dxa" w:w="144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[DPO]</w:t>
            </w:r>
          </w:p>
        </w:tc>
      </w:tr>
    </w:tbl>
    <w:p/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4748B"/>
        <w:sz w:val="16"/>
        <w:szCs w:val="16"/>
      </w:rPr>
      <w:t xml:space="preserve">Modèle proposé par validemic.com. Ne constitue pas un conseil juridique : faites-le relire par votre service juridique ou votre DPO avant toute utilisation.   </w:t>
    </w:r>
    <w:r>
      <w:rPr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/>
    </w:pPr>
    <w:rPr>
      <w:b/>
      <w:bCs/>
      <w:color w:val="0F1F38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20" w:before="320"/>
      <w:outlineLvl w:val="0"/>
    </w:pPr>
    <w:rPr>
      <w:b/>
      <w:bCs/>
      <w:color w:val="0F1F38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b/>
      <w:bCs/>
      <w:color w:val="1D4589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b/>
      <w:bCs/>
      <w:color w:val="334155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Registre des activités de traitement : modèle pour les universités</dc:title>
  <dc:creator>Validemic</dc:creator>
  <cp:lastModifiedBy>Un-named</cp:lastModifiedBy>
  <cp:revision>1</cp:revision>
  <dcterms:created xsi:type="dcterms:W3CDTF">2026-10-07T02:31:32.963Z</dcterms:created>
  <dcterms:modified xsi:type="dcterms:W3CDTF">2026-10-07T02:31:32.963Z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