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retention schedule: template for universities</w:t>
      </w:r>
    </w:p>
    <w:p>
      <w:pPr>
        <w:spacing w:after="240"/>
      </w:pPr>
      <w:r>
        <w:rPr>
          <w:color w:val="64748B"/>
        </w:rPr>
        <w:t xml:space="preserve">Article 5(1)(e) GDPR and national archives rules. Part 1 schedule details, Part 2 retention schedule by function, Part 3 disposal log, Part 4 review log. Version 1.0, October 2026.</w:t>
      </w:r>
    </w:p>
    <w:p>
      <w:pPr>
        <w:pBdr>
          <w:left w:val="single" w:color="F59E0B" w:sz="18" w:space="8"/>
        </w:pBdr>
        <w:shd w:fill="FFFBEB" w:color="auto" w:val="clear"/>
        <w:spacing w:after="160" w:before="120"/>
      </w:pPr>
      <w:r>
        <w:rPr>
          <w:i/>
          <w:iCs/>
        </w:rPr>
        <w:t xml:space="preserve">How to use this template: fill in everything in </w:t>
      </w:r>
      <w:r>
        <w:rPr>
          <w:i/>
          <w:iCs/>
          <w:highlight w:val="yellow"/>
          <w:highlightCs w:val="yellow"/>
        </w:rPr>
        <w:t xml:space="preserve">[square brackets]</w:t>
      </w:r>
      <w:r>
        <w:rPr>
          <w:i/>
          <w:iCs/>
        </w:rPr>
        <w:t xml:space="preserve">. Rows marked EXAMPLE show the format. Where an EXAMPLE row quotes a published source (Riksarkivet RA-MS 2026:31 for Swedish state universities, or the University of Edinburgh student records schedule, version 23, October 2025), the source is named; those periods apply only in that context and are not recommendations. All other example values are placeholders. Set your own periods with your records manager, archivist, legal office and DPO. Delete the example rows and this box before use. This template is not legal advice.</w:t>
      </w:r>
    </w:p>
    <w:p>
      <w:pPr>
        <w:pStyle w:val="Heading1"/>
      </w:pPr>
      <w:r>
        <w:t xml:space="preserve">Instructions</w:t>
      </w:r>
    </w:p>
    <w:p>
      <w:pPr>
        <w:pStyle w:val="ListParagraph"/>
        <w:numPr>
          <w:ilvl w:val="0"/>
          <w:numId w:val="2"/>
        </w:numPr>
      </w:pPr>
      <w:r>
        <w:rPr>
          <w:b/>
          <w:bCs/>
        </w:rPr>
        <w:t xml:space="preserve">Storage limitation.</w:t>
      </w:r>
      <w:r>
        <w:t xml:space="preserve"> Personal data must be kept in identifiable form no longer than necessary for the purpose (Article 5(1)(e) GDPR). Longer storage is possible only for archiving in the public interest, scientific or historical research or statistics, with Article 89(1) safeguards.</w:t>
      </w:r>
    </w:p>
    <w:p>
      <w:pPr>
        <w:pStyle w:val="ListParagraph"/>
        <w:numPr>
          <w:ilvl w:val="0"/>
          <w:numId w:val="2"/>
        </w:numPr>
      </w:pPr>
      <w:r>
        <w:rPr>
          <w:b/>
          <w:bCs/>
        </w:rPr>
        <w:t xml:space="preserve">Archives law.</w:t>
      </w:r>
      <w:r>
        <w:t xml:space="preserve"> If your institution is a public body, national archives and public records law may require records to be kept or prohibit their destruction without authority. Record the rule that applies in the Authority column. Where archives rules allow disposal, dispose of the records when the period ends rather than keeping them by default.</w:t>
      </w:r>
    </w:p>
    <w:p>
      <w:pPr>
        <w:pStyle w:val="ListParagraph"/>
        <w:numPr>
          <w:ilvl w:val="0"/>
          <w:numId w:val="2"/>
        </w:numPr>
      </w:pPr>
      <w:r>
        <w:rPr>
          <w:b/>
          <w:bCs/>
        </w:rPr>
        <w:t xml:space="preserve">One row per record series.</w:t>
      </w:r>
      <w:r>
        <w:t xml:space="preserve"> Describe records by what they are (for example "unsuccessful applications"), not by system. One system holds many series.</w:t>
      </w:r>
    </w:p>
    <w:p>
      <w:pPr>
        <w:pStyle w:val="ListParagraph"/>
        <w:numPr>
          <w:ilvl w:val="0"/>
          <w:numId w:val="2"/>
        </w:numPr>
      </w:pPr>
      <w:r>
        <w:rPr>
          <w:b/>
          <w:bCs/>
        </w:rPr>
        <w:t xml:space="preserve">Period plus trigger.</w:t>
      </w:r>
      <w:r>
        <w:t xml:space="preserve"> Every period needs a starting event: decision date, completion of studies, end of contract, end of project, grading date.</w:t>
      </w:r>
    </w:p>
    <w:p>
      <w:pPr>
        <w:pStyle w:val="ListParagraph"/>
        <w:numPr>
          <w:ilvl w:val="0"/>
          <w:numId w:val="2"/>
        </w:numPr>
      </w:pPr>
      <w:r>
        <w:rPr>
          <w:b/>
          <w:bCs/>
        </w:rPr>
        <w:t xml:space="preserve">End action.</w:t>
      </w:r>
      <w:r>
        <w:t xml:space="preserve"> State what happens: destroy, anonymise, transfer to archive, return, or review. Record actions in the disposal log (Part 3).</w:t>
      </w:r>
    </w:p>
    <w:p>
      <w:pPr>
        <w:pStyle w:val="ListParagraph"/>
        <w:numPr>
          <w:ilvl w:val="0"/>
          <w:numId w:val="2"/>
        </w:numPr>
      </w:pPr>
      <w:r>
        <w:rPr>
          <w:b/>
          <w:bCs/>
        </w:rPr>
        <w:t xml:space="preserve">Authority.</w:t>
      </w:r>
      <w:r>
        <w:t xml:space="preserve"> State why the period is what it is: statute, archives regulation, contract or funder condition, limitation period, or an internal decision with a reason.</w:t>
      </w:r>
    </w:p>
    <w:p>
      <w:pPr>
        <w:pStyle w:val="ListParagraph"/>
        <w:numPr>
          <w:ilvl w:val="0"/>
          <w:numId w:val="2"/>
        </w:numPr>
      </w:pPr>
      <w:r>
        <w:rPr>
          <w:b/>
          <w:bCs/>
        </w:rPr>
        <w:t xml:space="preserve">Consistency.</w:t>
      </w:r>
      <w:r>
        <w:t xml:space="preserve"> Use the same periods in privacy notices (Articles 13(2)(a) and 14(2)(a)), the record of processing activities (Article 30(1)(f)) and data processing agreements with vendors (Article 28(3)(g)).</w:t>
      </w:r>
    </w:p>
    <w:p>
      <w:pPr>
        <w:pStyle w:val="ListParagraph"/>
        <w:numPr>
          <w:ilvl w:val="0"/>
          <w:numId w:val="2"/>
        </w:numPr>
      </w:pPr>
      <w:r>
        <w:rPr>
          <w:b/>
          <w:bCs/>
        </w:rPr>
        <w:t xml:space="preserve">Pseudonymised data stays in scope.</w:t>
      </w:r>
      <w:r>
        <w:t xml:space="preserve"> Only properly anonymised data falls outside the GDPR.</w:t>
      </w:r>
    </w:p>
    <w:p>
      <w:pPr>
        <w:pStyle w:val="Heading1"/>
      </w:pPr>
      <w:r>
        <w:t xml:space="preserve">Part 1: Schedule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Field</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Entry</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Institution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[Legal name]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form and archives regime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state agency subject to [national archives act]</w:t>
            </w:r>
            <w:r>
              <w:t xml:space="preserve">; private foundation; public authority under </w:t>
            </w:r>
            <w:r>
              <w:rPr>
                <w:highlight w:val="yellow"/>
                <w:highlightCs w:val="yellow"/>
              </w:rPr>
              <w:t xml:space="preserve">[law]</w:t>
            </w:r>
            <w:r>
              <w:t xml:space="preserv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National rules that set retention periods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[Archives act and regulations; accounting law; employment law; immigration rules; research funder conditions]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Schedule owner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[Records manager / archivist, contact]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consulted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by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role, 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Version and next review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[Version, date]</w:t>
            </w:r>
          </w:p>
        </w:tc>
      </w:tr>
    </w:tbl>
    <w:p/>
    <w:p>
      <w:pPr>
        <w:pStyle w:val="Heading1"/>
      </w:pPr>
      <w:r>
        <w:t xml:space="preserve">Part 2: Retention schedule</w:t>
      </w:r>
    </w:p>
    <w:p>
      <w:pPr>
        <w:spacing w:after="120"/>
      </w:pPr>
      <w:r>
        <w:t xml:space="preserve">Columns: </w:t>
      </w:r>
      <w:r>
        <w:rPr>
          <w:b/>
          <w:bCs/>
        </w:rPr>
        <w:t xml:space="preserve">Record series</w:t>
      </w:r>
      <w:r>
        <w:t xml:space="preserve"> (what the records are); </w:t>
      </w:r>
      <w:r>
        <w:rPr>
          <w:b/>
          <w:bCs/>
        </w:rPr>
        <w:t xml:space="preserve">Personal data</w:t>
      </w:r>
      <w:r>
        <w:t xml:space="preserve"> (main categories, flag special category data); </w:t>
      </w:r>
      <w:r>
        <w:rPr>
          <w:b/>
          <w:bCs/>
        </w:rPr>
        <w:t xml:space="preserve">Period</w:t>
      </w:r>
      <w:r>
        <w:t xml:space="preserve">; </w:t>
      </w:r>
      <w:r>
        <w:rPr>
          <w:b/>
          <w:bCs/>
        </w:rPr>
        <w:t xml:space="preserve">Trigger</w:t>
      </w:r>
      <w:r>
        <w:t xml:space="preserve"> (event that starts the period); </w:t>
      </w:r>
      <w:r>
        <w:rPr>
          <w:b/>
          <w:bCs/>
        </w:rPr>
        <w:t xml:space="preserve">End action</w:t>
      </w:r>
      <w:r>
        <w:t xml:space="preserve">; </w:t>
      </w:r>
      <w:r>
        <w:rPr>
          <w:b/>
          <w:bCs/>
        </w:rPr>
        <w:t xml:space="preserve">Authority</w:t>
      </w:r>
      <w:r>
        <w:t xml:space="preserve"> (rule or reason for the period); </w:t>
      </w:r>
      <w:r>
        <w:rPr>
          <w:b/>
          <w:bCs/>
        </w:rPr>
        <w:t xml:space="preserve">Owner and system</w:t>
      </w:r>
      <w:r>
        <w:t xml:space="preserve"> (who acts, where the records are held, including vendors); </w:t>
      </w:r>
      <w:r>
        <w:rPr>
          <w:b/>
          <w:bCs/>
        </w:rPr>
        <w:t xml:space="preserve">ROPA ref.</w:t>
      </w:r>
    </w:p>
    <w:p>
      <w:pPr>
        <w:pStyle w:val="Heading2"/>
      </w:pPr>
      <w:r>
        <w:t xml:space="preserve">2.1 Admissions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173"/>
        <w:gridCol w:w="812"/>
        <w:gridCol w:w="1354"/>
        <w:gridCol w:w="903"/>
        <w:gridCol w:w="1354"/>
        <w:gridCol w:w="1173"/>
        <w:gridCol w:w="812"/>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Personal data</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Period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 action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Authority</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and system</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ROPA 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Applications with attachments, first and second cycle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Identity, education history, grades</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Admission decision, provided the application is registered in the admissions or student register</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Dispose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RA-MS 2017:39 as amended by RA-MS 2026:31 (Swedish state universities)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[Admissions office,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[Unsuccessful applications]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2"/>
      </w:pPr>
      <w:r>
        <w:t xml:space="preserve">2.2 Student records and assessment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173"/>
        <w:gridCol w:w="812"/>
        <w:gridCol w:w="1354"/>
        <w:gridCol w:w="903"/>
        <w:gridCol w:w="1354"/>
        <w:gridCol w:w="1173"/>
        <w:gridCol w:w="812"/>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Personal data</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Period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 action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Authority</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and system</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ROPA 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Core student record (identity, programme, results, award)</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Identity, study results, award</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 perpetuity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Completion of studies</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Archive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University of Edinburgh student records schedule (to verify degrees awarded); in Sweden degree and course certificates are preserved under RA-MS 2026:31</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 records,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Written exam answers on paper not returned; electronic exam answers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or ID, answers, grade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Grading</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Dispose; keep one copy of the exam paper</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RA-MS 2026:31 (Swedish state universities)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[School, [exam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Audio and video recordings of examinations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Image, voice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Examination date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Dispose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RA-MS 2026:31 (Swedish state universities)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[School,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Student academic appeal case records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Identity, case details</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End of case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University of Edinburgh student records schedule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[Academic services,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Library information</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Loans, account</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Completion of studies</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University of Edinburgh student records schedule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[Library, [library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[Study adjustments and disability support records]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[Health data (special category)]</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[Learning platform course content and submissions]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2"/>
      </w:pPr>
      <w:r>
        <w:t xml:space="preserve">2.3 Research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173"/>
        <w:gridCol w:w="812"/>
        <w:gridCol w:w="1354"/>
        <w:gridCol w:w="903"/>
        <w:gridCol w:w="1354"/>
        <w:gridCol w:w="1173"/>
        <w:gridCol w:w="812"/>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Personal data</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Period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 action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Authority</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and system</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ROPA 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Participant contact details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email</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[Until end of project]</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[Project end date]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 management plan; storage limitation]</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[PI, [research storage]</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Raw interview recordings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Voice, possibly special category content</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[X months]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[Transcript checked]</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 management plan; Article 89(1) minimisation]</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[PI,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Consent records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signature, date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[X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[End of project]</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[Destroy / archive]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[Institutional policy; ethics requirements]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[PI,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Pseudonymised research data</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Pseudonymised research data</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[X years]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[Publication]</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[Archive / repository / 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[Research data policy; funder conditions; national archives rules on research records]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[PI, [repository]</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bl>
    <w:p/>
    <w:p>
      <w:pPr>
        <w:pStyle w:val="Heading2"/>
      </w:pPr>
      <w:r>
        <w:t xml:space="preserve">2.4 Human resources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173"/>
        <w:gridCol w:w="812"/>
        <w:gridCol w:w="1354"/>
        <w:gridCol w:w="903"/>
        <w:gridCol w:w="1354"/>
        <w:gridCol w:w="1173"/>
        <w:gridCol w:w="812"/>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Personal data</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Period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 action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Authority</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and system</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ROPA 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[Recruitment files, unsuccessful candidates]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[Personnel file]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[Sickness absence and occupational health]</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[Health data (special category)]</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2"/>
      </w:pPr>
      <w:r>
        <w:t xml:space="preserve">2.5 Finance, library, IT and other functions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1173"/>
        <w:gridCol w:w="812"/>
        <w:gridCol w:w="1354"/>
        <w:gridCol w:w="903"/>
        <w:gridCol w:w="1354"/>
        <w:gridCol w:w="1173"/>
        <w:gridCol w:w="812"/>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Personal data</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Period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End action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Authority</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and system</w:t>
            </w:r>
          </w:p>
        </w:tc>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ROPA 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Student funding applications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Identity, financial information</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Successful: 7 years; unsuccessful: 1 year</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Completion of studies</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Destroy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University of Edinburgh student records schedule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[Student funding team, [system]</w:t>
            </w:r>
            <w: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[Accounting records with personal data]</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[National accounting law]</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[IT security logs]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[User IDs, IP addresses]</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[CCTV recordings]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[Images]</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[Video recordings of internal meetings]</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[Image, voice]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 Sweden see RA-MS 2026:31]</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1"/>
      </w:pPr>
      <w:r>
        <w:t xml:space="preserve">Part 3: Disposal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1625"/>
        <w:gridCol w:w="1444"/>
        <w:gridCol w:w="1444"/>
        <w:gridCol w:w="1444"/>
        <w:gridCol w:w="1083"/>
        <w:gridCol w:w="1083"/>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Record series and period covered</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Action (destroyed, anonymised, transferred, returned)</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Systems and vendors included</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Method and confirmation</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Performed by</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Approved by</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1"/>
      </w:pPr>
      <w:r>
        <w:t xml:space="preserve">Part 4: Review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625"/>
        <w:gridCol w:w="2257"/>
        <w:gridCol w:w="2257"/>
        <w:gridCol w:w="1805"/>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Reviewer</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Trigger (scheduled review, new law, new system, new vendor, audit)</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Changes made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Privacy notices, ROPA and DPAs updated?</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retention schedule: template for universities</dc:title>
  <dc:creator>Validemic</dc:creator>
  <cp:lastModifiedBy>Un-named</cp:lastModifiedBy>
  <cp:revision>1</cp:revision>
  <dcterms:created xsi:type="dcterms:W3CDTF">2026-10-07T07:27:58.726Z</dcterms:created>
  <dcterms:modified xsi:type="dcterms:W3CDTF">2026-10-07T07:27:58.726Z</dcterms:modified>
</cp:coreProperties>
</file>

<file path=docProps/custom.xml><?xml version="1.0" encoding="utf-8"?>
<Properties xmlns="http://schemas.openxmlformats.org/officeDocument/2006/custom-properties" xmlns:vt="http://schemas.openxmlformats.org/officeDocument/2006/docPropsVTypes"/>
</file>