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Record of Processing Activities (ROPA): template for universities</w:t>
      </w:r>
    </w:p>
    <w:p>
      <w:pPr>
        <w:spacing w:after="240"/>
      </w:pPr>
      <w:r>
        <w:rPr>
          <w:color w:val="64748B"/>
        </w:rPr>
        <w:t xml:space="preserve">Article 30 GDPR. Part 1 controller details, Part 2 controller record (Art. 30(1)), Part 3 processor record (Art. 30(2)). Version 1.0, October 2026.</w:t>
      </w:r>
    </w:p>
    <w:p>
      <w:pPr>
        <w:pBdr>
          <w:left w:val="single" w:color="F59E0B" w:sz="18" w:space="8"/>
        </w:pBdr>
        <w:shd w:fill="FFFBEB" w:color="auto" w:val="clear"/>
        <w:spacing w:after="160" w:before="120"/>
      </w:pPr>
      <w:r>
        <w:rPr>
          <w:i/>
          <w:iCs/>
        </w:rPr>
        <w:t xml:space="preserve">The three filled rows in each table are EXAMPLES. They show the level of detail expected and are not a statement of what any real university processes. Replace them with your own entries and delete the example rows before use.</w:t>
      </w:r>
    </w:p>
    <w:p>
      <w:pPr>
        <w:pStyle w:val="Heading1"/>
      </w:pPr>
      <w:r>
        <w:t xml:space="preserve">Instructions</w:t>
      </w:r>
    </w:p>
    <w:p>
      <w:pPr>
        <w:pStyle w:val="ListParagraph"/>
        <w:numPr>
          <w:ilvl w:val="0"/>
          <w:numId w:val="2"/>
        </w:numPr>
      </w:pPr>
      <w:r>
        <w:rPr>
          <w:b/>
          <w:bCs/>
        </w:rPr>
        <w:t xml:space="preserve">Who keeps the record.</w:t>
      </w:r>
      <w:r>
        <w:t xml:space="preserve"> Article 30(1) GDPR requires each controller to keep a record of processing activities under its responsibility. Article 30(2) requires each processor to keep a record of the categories of processing it carries out on behalf of controllers. A university is usually a controller, and sometimes also a processor, so it normally needs both parts.</w:t>
      </w:r>
    </w:p>
    <w:p>
      <w:pPr>
        <w:pStyle w:val="ListParagraph"/>
        <w:numPr>
          <w:ilvl w:val="0"/>
          <w:numId w:val="2"/>
        </w:numPr>
      </w:pPr>
      <w:r>
        <w:rPr>
          <w:b/>
          <w:bCs/>
        </w:rPr>
        <w:t xml:space="preserve">One row per processing activity.</w:t>
      </w:r>
      <w:r>
        <w:t xml:space="preserve"> Describe activities by purpose (for example "student admissions"), not by system. One system can support several activities, and one activity can use several systems.</w:t>
      </w:r>
    </w:p>
    <w:p>
      <w:pPr>
        <w:pStyle w:val="ListParagraph"/>
        <w:numPr>
          <w:ilvl w:val="0"/>
          <w:numId w:val="2"/>
        </w:numPr>
      </w:pPr>
      <w:r>
        <w:rPr>
          <w:b/>
          <w:bCs/>
        </w:rPr>
        <w:t xml:space="preserve">Mandatory fields.</w:t>
      </w:r>
      <w:r>
        <w:t xml:space="preserve"> Columns marked with an Article 30 reference are required by the GDPR. Columns marked "recommended" are not required by Article 30 but help you demonstrate compliance and link the record to vendor assessments and DPIAs.</w:t>
      </w:r>
    </w:p>
    <w:p>
      <w:pPr>
        <w:pStyle w:val="ListParagraph"/>
        <w:numPr>
          <w:ilvl w:val="0"/>
          <w:numId w:val="2"/>
        </w:numPr>
      </w:pPr>
      <w:r>
        <w:rPr>
          <w:b/>
          <w:bCs/>
        </w:rPr>
        <w:t xml:space="preserve">Form.</w:t>
      </w:r>
      <w:r>
        <w:t xml:space="preserve"> The record must be in writing, which includes electronic form (Article 30(3)). A spreadsheet or register system is fine; this Word version is a starting point.</w:t>
      </w:r>
    </w:p>
    <w:p>
      <w:pPr>
        <w:pStyle w:val="ListParagraph"/>
        <w:numPr>
          <w:ilvl w:val="0"/>
          <w:numId w:val="2"/>
        </w:numPr>
      </w:pPr>
      <w:r>
        <w:rPr>
          <w:b/>
          <w:bCs/>
        </w:rPr>
        <w:t xml:space="preserve">Supervisory authority.</w:t>
      </w:r>
      <w:r>
        <w:t xml:space="preserve"> The record must be made available to the supervisory authority on request (Article 30(4)).</w:t>
      </w:r>
    </w:p>
    <w:p>
      <w:pPr>
        <w:pStyle w:val="ListParagraph"/>
        <w:numPr>
          <w:ilvl w:val="0"/>
          <w:numId w:val="2"/>
        </w:numPr>
      </w:pPr>
      <w:r>
        <w:rPr>
          <w:b/>
          <w:bCs/>
        </w:rPr>
        <w:t xml:space="preserve">The 250-employee exemption rarely helps universities.</w:t>
      </w:r>
      <w:r>
        <w:t xml:space="preserve"> Article 30(5) exempts organisations with fewer than 250 employees only where processing is occasional, unlikely to result in a risk, and does not include special category or criminal offence data.</w:t>
      </w:r>
    </w:p>
    <w:p>
      <w:pPr>
        <w:pStyle w:val="ListParagraph"/>
        <w:numPr>
          <w:ilvl w:val="0"/>
          <w:numId w:val="2"/>
        </w:numPr>
      </w:pPr>
      <w:r>
        <w:rPr>
          <w:b/>
          <w:bCs/>
        </w:rPr>
        <w:t xml:space="preserve">Keep it current.</w:t>
      </w:r>
      <w:r>
        <w:t xml:space="preserve"> Update the record when a purpose, data category, recipient, vendor, transfer or retention period changes, and review the whole record at least once a year.</w:t>
      </w:r>
    </w:p>
    <w:p>
      <w:pPr>
        <w:pStyle w:val="Heading1"/>
      </w:pPr>
      <w:r>
        <w:t xml:space="preserve">Part 1: Controller details (Article 30(1)(a))</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610"/>
        <w:gridCol w:w="5416"/>
      </w:tblGrid>
      <w:tr>
        <w:trPr>
          <w:tblHeader/>
        </w:trPr>
        <w:tc>
          <w:tcPr>
            <w:tcW w:type="dxa" w:w="3610"/>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Field</w:t>
            </w:r>
          </w:p>
        </w:tc>
        <w:tc>
          <w:tcPr>
            <w:tcW w:type="dxa" w:w="5416"/>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Entry</w:t>
            </w:r>
          </w:p>
        </w:tc>
      </w:tr>
      <w:tr>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Controller (name and contact details)</w:t>
            </w:r>
          </w:p>
        </w:tc>
        <w:tc>
          <w:tcPr>
            <w:tcW w:type="dxa" w:w="541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[University legal name, address, general contact]</w:t>
            </w:r>
          </w:p>
        </w:tc>
      </w:tr>
      <w:tr>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Joint controller(s), where applicable</w:t>
            </w:r>
          </w:p>
        </w:tc>
        <w:tc>
          <w:tcPr>
            <w:tcW w:type="dxa" w:w="541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[Name and contact details, or "see activity row"]</w:t>
            </w:r>
          </w:p>
        </w:tc>
      </w:tr>
      <w:tr>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Controller's representative, where applicable</w:t>
            </w:r>
          </w:p>
        </w:tc>
        <w:tc>
          <w:tcPr>
            <w:tcW w:type="dxa" w:w="541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[Usually not applicable for an EU university]</w:t>
            </w:r>
          </w:p>
        </w:tc>
      </w:tr>
      <w:tr>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Data protection officer</w:t>
            </w:r>
          </w:p>
        </w:tc>
        <w:tc>
          <w:tcPr>
            <w:tcW w:type="dxa" w:w="541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[Name or function, email, phone]</w:t>
            </w:r>
          </w:p>
        </w:tc>
      </w:tr>
      <w:tr>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Record owner and last full review</w:t>
            </w:r>
          </w:p>
        </w:tc>
        <w:tc>
          <w:tcPr>
            <w:tcW w:type="dxa" w:w="541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[Name or function]</w:t>
            </w:r>
            <w:r>
              <w:t xml:space="preserve">, </w:t>
            </w:r>
            <w:r>
              <w:rPr>
                <w:highlight w:val="yellow"/>
                <w:highlightCs w:val="yellow"/>
              </w:rPr>
              <w:t xml:space="preserve">[date]</w:t>
            </w:r>
          </w:p>
        </w:tc>
      </w:tr>
    </w:tbl>
    <w:p/>
    <w:p>
      <w:pPr>
        <w:pStyle w:val="Heading1"/>
      </w:pPr>
      <w:r>
        <w:t xml:space="preserve">Part 2: Record of processing activities as controller (Article 30(1))</w:t>
      </w:r>
    </w:p>
    <w:p>
      <w:pPr>
        <w:pStyle w:val="Heading2"/>
      </w:pPr>
      <w:r>
        <w:t xml:space="preserve">Table 2a: Purpose, data subjects and data</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083"/>
        <w:gridCol w:w="2708"/>
        <w:gridCol w:w="2347"/>
        <w:gridCol w:w="2888"/>
      </w:tblGrid>
      <w:tr>
        <w:trPr>
          <w:tblHeader/>
        </w:trPr>
        <w:tc>
          <w:tcPr>
            <w:tcW w:type="dxa" w:w="1083"/>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ID</w:t>
            </w:r>
          </w:p>
        </w:tc>
        <w:tc>
          <w:tcPr>
            <w:tcW w:type="dxa" w:w="2708"/>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Activity and purpose (30(1)(b))</w:t>
            </w:r>
          </w:p>
        </w:tc>
        <w:tc>
          <w:tcPr>
            <w:tcW w:type="dxa" w:w="2347"/>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Categories of data subjects (30(1)(c))</w:t>
            </w:r>
          </w:p>
        </w:tc>
        <w:tc>
          <w:tcPr>
            <w:tcW w:type="dxa" w:w="2888"/>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Categories of personal data (30(1)(c))</w:t>
            </w:r>
          </w:p>
        </w:tc>
      </w:tr>
      <w:tr>
        <w:tc>
          <w:tcPr>
            <w:tcW w:type="dxa" w:w="108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EXAMPLE C-01</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Student admissions: receiving, assessing and deciding on applications to degree programmes.</w:t>
            </w:r>
          </w:p>
        </w:tc>
        <w:tc>
          <w:tcPr>
            <w:tcW w:type="dxa" w:w="2347"/>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Applicants; referees.</w:t>
            </w:r>
          </w:p>
        </w:tc>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Identity and contact details; education history and grades; application documents; nationality and residence status; </w:t>
            </w:r>
            <w:r>
              <w:rPr>
                <w:highlight w:val="yellow"/>
                <w:highlightCs w:val="yellow"/>
              </w:rPr>
              <w:t xml:space="preserve">[special category data only if needed, e.g. disability adjustments]</w:t>
            </w:r>
            <w:r>
              <w:t xml:space="preserve">.</w:t>
            </w:r>
          </w:p>
        </w:tc>
      </w:tr>
      <w:tr>
        <w:tc>
          <w:tcPr>
            <w:tcW w:type="dxa" w:w="108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EXAMPLE C-02</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Research project </w:t>
            </w:r>
            <w:r>
              <w:rPr>
                <w:highlight w:val="yellow"/>
                <w:highlightCs w:val="yellow"/>
              </w:rPr>
              <w:t xml:space="preserve">[project ID]</w:t>
            </w:r>
            <w:r>
              <w:t xml:space="preserve">: semi-structured interviews with teachers about workload, including audio recording and transcription.</w:t>
            </w:r>
          </w:p>
        </w:tc>
        <w:tc>
          <w:tcPr>
            <w:tcW w:type="dxa" w:w="2347"/>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Research participants (teachers); project researchers.</w:t>
            </w:r>
          </w:p>
        </w:tc>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Name and contact details; consent records; audio recordings; transcripts; job role and school (pseudonymised in analysis).</w:t>
            </w:r>
          </w:p>
        </w:tc>
      </w:tr>
      <w:tr>
        <w:tc>
          <w:tcPr>
            <w:tcW w:type="dxa" w:w="108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EXAMPLE C-03</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Library services: loans, interlibrary loans and authentication to licensed e-resources.</w:t>
            </w:r>
          </w:p>
        </w:tc>
        <w:tc>
          <w:tcPr>
            <w:tcW w:type="dxa" w:w="2347"/>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Students; staff; registered external library users.</w:t>
            </w:r>
          </w:p>
        </w:tc>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Name; library card number; university ID; loan history (current loans and limited history); authentication logs.</w:t>
            </w:r>
          </w:p>
        </w:tc>
      </w:tr>
    </w:tbl>
    <w:p/>
    <w:p>
      <w:pPr>
        <w:pStyle w:val="Heading2"/>
      </w:pPr>
      <w:r>
        <w:t xml:space="preserve">Table 2b: Recipients, transfers, retention and security</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083"/>
        <w:gridCol w:w="1986"/>
        <w:gridCol w:w="2166"/>
        <w:gridCol w:w="1805"/>
        <w:gridCol w:w="1986"/>
      </w:tblGrid>
      <w:tr>
        <w:trPr>
          <w:tblHeader/>
        </w:trPr>
        <w:tc>
          <w:tcPr>
            <w:tcW w:type="dxa" w:w="1083"/>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ID</w:t>
            </w:r>
          </w:p>
        </w:tc>
        <w:tc>
          <w:tcPr>
            <w:tcW w:type="dxa" w:w="1986"/>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Recipients (30(1)(d))</w:t>
            </w:r>
          </w:p>
        </w:tc>
        <w:tc>
          <w:tcPr>
            <w:tcW w:type="dxa" w:w="2166"/>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Third-country transfers and safeguards (30(1)(e))</w:t>
            </w:r>
          </w:p>
        </w:tc>
        <w:tc>
          <w:tcPr>
            <w:tcW w:type="dxa" w:w="180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Time limits for erasure (30(1)(f))</w:t>
            </w:r>
          </w:p>
        </w:tc>
        <w:tc>
          <w:tcPr>
            <w:tcW w:type="dxa" w:w="1986"/>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Security measures (30(1)(g))</w:t>
            </w:r>
          </w:p>
        </w:tc>
      </w:tr>
      <w:tr>
        <w:tc>
          <w:tcPr>
            <w:tcW w:type="dxa" w:w="108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EXAMPLE C-01</w:t>
            </w:r>
          </w:p>
        </w:tc>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Admissions staff; faculty assessors; national admissions service </w:t>
            </w:r>
            <w:r>
              <w:rPr>
                <w:highlight w:val="yellow"/>
                <w:highlightCs w:val="yellow"/>
              </w:rPr>
              <w:t xml:space="preserve">[name]</w:t>
            </w:r>
            <w:r>
              <w:t xml:space="preserve">; processor: application portal vendor </w:t>
            </w:r>
            <w:r>
              <w:rPr>
                <w:highlight w:val="yellow"/>
                <w:highlightCs w:val="yellow"/>
              </w:rPr>
              <w:t xml:space="preserve">[name]</w:t>
            </w:r>
            <w:r>
              <w:t xml:space="preserve">.</w:t>
            </w:r>
          </w:p>
        </w:tc>
        <w:tc>
          <w:tcPr>
            <w:tcW w:type="dxa" w:w="2166"/>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None, provided the vendor and its subprocessors process and access data in the EEA only </w:t>
            </w:r>
            <w:r>
              <w:rPr>
                <w:highlight w:val="yellow"/>
                <w:highlightCs w:val="yellow"/>
              </w:rPr>
              <w:t xml:space="preserve">[verify in vendor assessment]</w:t>
            </w:r>
            <w:r>
              <w:t xml:space="preserve">.</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[Per retention schedule: e.g. unsuccessful applications X months after the admission round]</w:t>
            </w:r>
          </w:p>
        </w:tc>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SSO with MFA; role-based access per programme; encryption in transit and at rest; see IT security policy </w:t>
            </w:r>
            <w:r>
              <w:rPr>
                <w:highlight w:val="yellow"/>
                <w:highlightCs w:val="yellow"/>
              </w:rPr>
              <w:t xml:space="preserve">[ref]</w:t>
            </w:r>
            <w:r>
              <w:t xml:space="preserve">.</w:t>
            </w:r>
          </w:p>
        </w:tc>
      </w:tr>
      <w:tr>
        <w:tc>
          <w:tcPr>
            <w:tcW w:type="dxa" w:w="108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EXAMPLE C-02</w:t>
            </w:r>
          </w:p>
        </w:tc>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Project researchers; processor: transcription service </w:t>
            </w:r>
            <w:r>
              <w:rPr>
                <w:highlight w:val="yellow"/>
                <w:highlightCs w:val="yellow"/>
              </w:rPr>
              <w:t xml:space="preserve">[name]</w:t>
            </w:r>
            <w:r>
              <w:t xml:space="preserve">; </w:t>
            </w:r>
            <w:r>
              <w:rPr>
                <w:highlight w:val="yellow"/>
                <w:highlightCs w:val="yellow"/>
              </w:rPr>
              <w:t xml:space="preserve">[co-investigators at partner university under agreement ref]</w:t>
            </w:r>
            <w:r>
              <w:t xml:space="preserve">.</w:t>
            </w:r>
          </w:p>
        </w:tc>
        <w:tc>
          <w:tcPr>
            <w:tcW w:type="dxa" w:w="2166"/>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Transcription vendor subprocessor in </w:t>
            </w:r>
            <w:r>
              <w:rPr>
                <w:highlight w:val="yellow"/>
                <w:highlightCs w:val="yellow"/>
              </w:rPr>
              <w:t xml:space="preserve">[country]</w:t>
            </w:r>
            <w:r>
              <w:t xml:space="preserve">: </w:t>
            </w:r>
            <w:r>
              <w:rPr>
                <w:highlight w:val="yellow"/>
                <w:highlightCs w:val="yellow"/>
              </w:rPr>
              <w:t xml:space="preserve">[adequacy / DPF List entry / SCC Module 3 with TIA ref]</w:t>
            </w:r>
            <w:r>
              <w:t xml:space="preserve">.</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[Recordings deleted after transcription and checking; pseudonymised transcripts kept per data management plan and research data policy]</w:t>
            </w:r>
          </w:p>
        </w:tc>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Recordings stored in approved research storage only; pseudonymisation key held separately; access limited to named researchers.</w:t>
            </w:r>
          </w:p>
        </w:tc>
      </w:tr>
      <w:tr>
        <w:tc>
          <w:tcPr>
            <w:tcW w:type="dxa" w:w="108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EXAMPLE C-03</w:t>
            </w:r>
          </w:p>
        </w:tc>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Library staff; processors: library management system vendor </w:t>
            </w:r>
            <w:r>
              <w:rPr>
                <w:highlight w:val="yellow"/>
                <w:highlightCs w:val="yellow"/>
              </w:rPr>
              <w:t xml:space="preserve">[name]</w:t>
            </w:r>
            <w:r>
              <w:t xml:space="preserve">, authentication proxy provider </w:t>
            </w:r>
            <w:r>
              <w:rPr>
                <w:highlight w:val="yellow"/>
                <w:highlightCs w:val="yellow"/>
              </w:rPr>
              <w:t xml:space="preserve">[name]</w:t>
            </w:r>
            <w:r>
              <w:t xml:space="preserve">; publishers receive </w:t>
            </w:r>
            <w:r>
              <w:rPr>
                <w:highlight w:val="yellow"/>
                <w:highlightCs w:val="yellow"/>
              </w:rPr>
              <w:t xml:space="preserve">[attributes released, e.g. entitlement only]</w:t>
            </w:r>
            <w:r>
              <w:t xml:space="preserve">.</w:t>
            </w:r>
          </w:p>
        </w:tc>
        <w:tc>
          <w:tcPr>
            <w:tcW w:type="dxa" w:w="216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[None / specify per vendor]</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[Loan history removed X days after return; account data deleted X months after leaving the university]</w:t>
            </w:r>
          </w:p>
        </w:tc>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Minimal attribute release to publishers; access logs restricted to named administrators.</w:t>
            </w:r>
          </w:p>
        </w:tc>
      </w:tr>
    </w:tbl>
    <w:p/>
    <w:p>
      <w:pPr>
        <w:pStyle w:val="Heading2"/>
      </w:pPr>
      <w:r>
        <w:t xml:space="preserve">Table 2c: Recommended additional fields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083"/>
        <w:gridCol w:w="1805"/>
        <w:gridCol w:w="1625"/>
        <w:gridCol w:w="1625"/>
        <w:gridCol w:w="1264"/>
        <w:gridCol w:w="1625"/>
      </w:tblGrid>
      <w:tr>
        <w:trPr>
          <w:tblHeader/>
        </w:trPr>
        <w:tc>
          <w:tcPr>
            <w:tcW w:type="dxa" w:w="1083"/>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ID</w:t>
            </w:r>
          </w:p>
        </w:tc>
        <w:tc>
          <w:tcPr>
            <w:tcW w:type="dxa" w:w="180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Lawful basis (Art. 6, and Art. 9 condition if relevant)</w:t>
            </w:r>
          </w:p>
        </w:tc>
        <w:tc>
          <w:tcPr>
            <w:tcW w:type="dxa" w:w="162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Systems and vendors (processors)</w:t>
            </w:r>
          </w:p>
        </w:tc>
        <w:tc>
          <w:tcPr>
            <w:tcW w:type="dxa" w:w="162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Vendor assessment and DPA reference</w:t>
            </w:r>
          </w:p>
        </w:tc>
        <w:tc>
          <w:tcPr>
            <w:tcW w:type="dxa" w:w="1264"/>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DPIA</w:t>
            </w:r>
          </w:p>
        </w:tc>
        <w:tc>
          <w:tcPr>
            <w:tcW w:type="dxa" w:w="162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Activity owner and last review</w:t>
            </w:r>
          </w:p>
        </w:tc>
      </w:tr>
      <w:tr>
        <w:tc>
          <w:tcPr>
            <w:tcW w:type="dxa" w:w="108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EXAMPLE C-01</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[Art. 6(1)(e) public task under national higher education law ref]</w:t>
            </w:r>
          </w:p>
        </w:tc>
        <w:tc>
          <w:tcPr>
            <w:tcW w:type="dxa" w:w="1625"/>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Application portal </w:t>
            </w:r>
            <w:r>
              <w:rPr>
                <w:highlight w:val="yellow"/>
                <w:highlightCs w:val="yellow"/>
              </w:rPr>
              <w:t xml:space="preserve">[name]</w:t>
            </w:r>
          </w:p>
        </w:tc>
        <w:tc>
          <w:tcPr>
            <w:tcW w:type="dxa" w:w="162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[VA-2026-014; DPA signed date]</w:t>
            </w:r>
          </w:p>
        </w:tc>
        <w:tc>
          <w:tcPr>
            <w:tcW w:type="dxa" w:w="12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[Screened: not required / DPIA ref]</w:t>
            </w:r>
          </w:p>
        </w:tc>
        <w:tc>
          <w:tcPr>
            <w:tcW w:type="dxa" w:w="162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[Head of Admissions]</w:t>
            </w:r>
            <w:r>
              <w:t xml:space="preserve">, </w:t>
            </w:r>
            <w:r>
              <w:rPr>
                <w:highlight w:val="yellow"/>
                <w:highlightCs w:val="yellow"/>
              </w:rPr>
              <w:t xml:space="preserve">[date]</w:t>
            </w:r>
          </w:p>
        </w:tc>
      </w:tr>
      <w:tr>
        <w:tc>
          <w:tcPr>
            <w:tcW w:type="dxa" w:w="108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EXAMPLE C-02</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[Art. 6(1)(e) public task for research, or as decided by your institution]</w:t>
            </w:r>
          </w:p>
        </w:tc>
        <w:tc>
          <w:tcPr>
            <w:tcW w:type="dxa" w:w="1625"/>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Transcription service </w:t>
            </w:r>
            <w:r>
              <w:rPr>
                <w:highlight w:val="yellow"/>
                <w:highlightCs w:val="yellow"/>
              </w:rPr>
              <w:t xml:space="preserve">[name]</w:t>
            </w:r>
            <w:r>
              <w:t xml:space="preserve">; research storage </w:t>
            </w:r>
            <w:r>
              <w:rPr>
                <w:highlight w:val="yellow"/>
                <w:highlightCs w:val="yellow"/>
              </w:rPr>
              <w:t xml:space="preserve">[name]</w:t>
            </w:r>
          </w:p>
        </w:tc>
        <w:tc>
          <w:tcPr>
            <w:tcW w:type="dxa" w:w="162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[VA ref; DPA ref]</w:t>
            </w:r>
          </w:p>
        </w:tc>
        <w:tc>
          <w:tcPr>
            <w:tcW w:type="dxa" w:w="12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[DPIA ref, if screening indicates]</w:t>
            </w:r>
          </w:p>
        </w:tc>
        <w:tc>
          <w:tcPr>
            <w:tcW w:type="dxa" w:w="162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[Principal investigator]</w:t>
            </w:r>
            <w:r>
              <w:t xml:space="preserve">, </w:t>
            </w:r>
            <w:r>
              <w:rPr>
                <w:highlight w:val="yellow"/>
                <w:highlightCs w:val="yellow"/>
              </w:rPr>
              <w:t xml:space="preserve">[date]</w:t>
            </w:r>
          </w:p>
        </w:tc>
      </w:tr>
      <w:tr>
        <w:tc>
          <w:tcPr>
            <w:tcW w:type="dxa" w:w="108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EXAMPLE C-03</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[Art. 6(1)(b) or (e), as decided by your institution]</w:t>
            </w:r>
          </w:p>
        </w:tc>
        <w:tc>
          <w:tcPr>
            <w:tcW w:type="dxa" w:w="1625"/>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Library management system </w:t>
            </w:r>
            <w:r>
              <w:rPr>
                <w:highlight w:val="yellow"/>
                <w:highlightCs w:val="yellow"/>
              </w:rPr>
              <w:t xml:space="preserve">[name]</w:t>
            </w:r>
            <w:r>
              <w:t xml:space="preserve">; authentication proxy </w:t>
            </w:r>
            <w:r>
              <w:rPr>
                <w:highlight w:val="yellow"/>
                <w:highlightCs w:val="yellow"/>
              </w:rPr>
              <w:t xml:space="preserve">[name]</w:t>
            </w:r>
          </w:p>
        </w:tc>
        <w:tc>
          <w:tcPr>
            <w:tcW w:type="dxa" w:w="162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[VA ref; DPA ref]</w:t>
            </w:r>
          </w:p>
        </w:tc>
        <w:tc>
          <w:tcPr>
            <w:tcW w:type="dxa" w:w="12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[Screened: not required]</w:t>
            </w:r>
          </w:p>
        </w:tc>
        <w:tc>
          <w:tcPr>
            <w:tcW w:type="dxa" w:w="162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[Library systems manager]</w:t>
            </w:r>
            <w:r>
              <w:t xml:space="preserve">, </w:t>
            </w:r>
            <w:r>
              <w:rPr>
                <w:highlight w:val="yellow"/>
                <w:highlightCs w:val="yellow"/>
              </w:rPr>
              <w:t xml:space="preserve">[date]</w:t>
            </w:r>
          </w:p>
        </w:tc>
      </w:tr>
    </w:tbl>
    <w:p/>
    <w:p>
      <w:pPr>
        <w:pStyle w:val="Heading1"/>
      </w:pPr>
      <w:r>
        <w:t xml:space="preserve">Part 3: Record of categories of processing as processor (Article 30(2))</w:t>
      </w:r>
    </w:p>
    <w:p>
      <w:pPr>
        <w:spacing w:after="120"/>
      </w:pPr>
      <w:r>
        <w:t xml:space="preserve">Complete this part where the university processes personal data on behalf of another controller, for example a core facility analysing data for external researchers, or university IT running a system for a separate legal entity.</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083"/>
        <w:gridCol w:w="1805"/>
        <w:gridCol w:w="1805"/>
        <w:gridCol w:w="1444"/>
        <w:gridCol w:w="1625"/>
        <w:gridCol w:w="1264"/>
      </w:tblGrid>
      <w:tr>
        <w:trPr>
          <w:tblHeader/>
        </w:trPr>
        <w:tc>
          <w:tcPr>
            <w:tcW w:type="dxa" w:w="1083"/>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ID</w:t>
            </w:r>
          </w:p>
        </w:tc>
        <w:tc>
          <w:tcPr>
            <w:tcW w:type="dxa" w:w="180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Controller on whose behalf we act, with contact and DPO (30(2)(a))</w:t>
            </w:r>
          </w:p>
        </w:tc>
        <w:tc>
          <w:tcPr>
            <w:tcW w:type="dxa" w:w="180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Categories of processing (30(2)(b))</w:t>
            </w:r>
          </w:p>
        </w:tc>
        <w:tc>
          <w:tcPr>
            <w:tcW w:type="dxa" w:w="1444"/>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Third-country transfers and safeguards (30(2)(c))</w:t>
            </w:r>
          </w:p>
        </w:tc>
        <w:tc>
          <w:tcPr>
            <w:tcW w:type="dxa" w:w="162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Security measures (30(2)(d))</w:t>
            </w:r>
          </w:p>
        </w:tc>
        <w:tc>
          <w:tcPr>
            <w:tcW w:type="dxa" w:w="1264"/>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Sub-processors used (recommended)</w:t>
            </w:r>
          </w:p>
        </w:tc>
      </w:tr>
      <w:tr>
        <w:tc>
          <w:tcPr>
            <w:tcW w:type="dxa" w:w="108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EXAMPLE P-01</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[External research group, institution name, contact; their DPO contact]</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Imaging core facility: acquisition, storage and pre-processing of scan data for the controller's study under processing agreement </w:t>
            </w:r>
            <w:r>
              <w:rPr>
                <w:highlight w:val="yellow"/>
                <w:highlightCs w:val="yellow"/>
              </w:rPr>
              <w:t xml:space="preserve">[ref]</w:t>
            </w:r>
            <w:r>
              <w:t xml:space="preserve">.</w:t>
            </w:r>
          </w:p>
        </w:tc>
        <w:tc>
          <w:tcPr>
            <w:tcW w:type="dxa" w:w="1444"/>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None</w:t>
            </w:r>
          </w:p>
        </w:tc>
        <w:tc>
          <w:tcPr>
            <w:tcW w:type="dxa" w:w="1625"/>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Isolated project storage; access limited to facility staff named in the agreement; deletion at project end.</w:t>
            </w:r>
          </w:p>
        </w:tc>
        <w:tc>
          <w:tcPr>
            <w:tcW w:type="dxa" w:w="12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[None / name]</w:t>
            </w:r>
          </w:p>
        </w:tc>
      </w:tr>
      <w:tr>
        <w:tc>
          <w:tcPr>
            <w:tcW w:type="dxa" w:w="108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EXAMPLE P-02</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[Student union, legal name, contact; DPO or privacy contact]</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Hosting and operating the union's membership register on university infrastructure under agreement </w:t>
            </w:r>
            <w:r>
              <w:rPr>
                <w:highlight w:val="yellow"/>
                <w:highlightCs w:val="yellow"/>
              </w:rPr>
              <w:t xml:space="preserve">[ref]</w:t>
            </w:r>
            <w:r>
              <w:t xml:space="preserve">.</w:t>
            </w:r>
          </w:p>
        </w:tc>
        <w:tc>
          <w:tcPr>
            <w:tcW w:type="dxa" w:w="1444"/>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None</w:t>
            </w:r>
          </w:p>
        </w:tc>
        <w:tc>
          <w:tcPr>
            <w:tcW w:type="dxa" w:w="1625"/>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Separate tenant; union administrators only; university IT staff access logged.</w:t>
            </w:r>
          </w:p>
        </w:tc>
        <w:tc>
          <w:tcPr>
            <w:tcW w:type="dxa" w:w="12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[Hosting provider name, if any]</w:t>
            </w:r>
          </w:p>
        </w:tc>
      </w:tr>
      <w:tr>
        <w:tc>
          <w:tcPr>
            <w:tcW w:type="dxa" w:w="108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EXAMPLE P-03</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[Public agency or municipality, contact; DPO contact]</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Survey unit: distributing a questionnaire, collecting responses and delivering pseudonymised datasets to the controller.</w:t>
            </w:r>
          </w:p>
        </w:tc>
        <w:tc>
          <w:tcPr>
            <w:tcW w:type="dxa" w:w="144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[Survey platform subprocessor in country: safeguard and ref]</w:t>
            </w:r>
          </w:p>
        </w:tc>
        <w:tc>
          <w:tcPr>
            <w:tcW w:type="dxa" w:w="1625"/>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Survey platform with SSO for staff; datasets transferred by encrypted channel.</w:t>
            </w:r>
          </w:p>
        </w:tc>
        <w:tc>
          <w:tcPr>
            <w:tcW w:type="dxa" w:w="12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[Survey platform name]</w:t>
            </w:r>
          </w:p>
        </w:tc>
      </w:tr>
    </w:tbl>
    <w:p/>
    <w:p>
      <w:pPr>
        <w:pStyle w:val="Heading1"/>
      </w:pPr>
      <w:r>
        <w:t xml:space="preserve">Review log</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354"/>
        <w:gridCol w:w="4513"/>
        <w:gridCol w:w="1354"/>
        <w:gridCol w:w="1805"/>
      </w:tblGrid>
      <w:tr>
        <w:trPr>
          <w:tblHeader/>
        </w:trPr>
        <w:tc>
          <w:tcPr>
            <w:tcW w:type="dxa" w:w="1354"/>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Date</w:t>
            </w:r>
          </w:p>
        </w:tc>
        <w:tc>
          <w:tcPr>
            <w:tcW w:type="dxa" w:w="4513"/>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Change</w:t>
            </w:r>
          </w:p>
        </w:tc>
        <w:tc>
          <w:tcPr>
            <w:tcW w:type="dxa" w:w="1354"/>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Rows affected</w:t>
            </w:r>
          </w:p>
        </w:tc>
        <w:tc>
          <w:tcPr>
            <w:tcW w:type="dxa" w:w="180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By</w:t>
            </w:r>
          </w:p>
        </w:tc>
      </w:tr>
      <w:tr>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[Date]</w:t>
            </w:r>
          </w:p>
        </w:tc>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[e.g. new transcription vendor added after assessment VA-2026-022]</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[C-02]</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[Name]</w:t>
            </w:r>
          </w:p>
        </w:tc>
      </w:tr>
      <w:tr>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bl>
    <w:p/>
    <w:p>
      <w:pPr>
        <w:pBdr>
          <w:left w:val="single" w:color="F59E0B" w:sz="18" w:space="8"/>
        </w:pBdr>
        <w:shd w:fill="FFFBEB" w:color="auto" w:val="clear"/>
        <w:spacing w:after="160" w:before="120"/>
      </w:pPr>
      <w:r>
        <w:rPr>
          <w:i/>
          <w:iCs/>
        </w:rPr>
        <w:t xml:space="preserve">Not legal advice. Based on Article 30 of Regulation (EU) 2016/679 as read on 7 October 2026. Your supervisory authority or national law may expect further fields. Explanations and worked examples: validemic.com/guides/ropa-template-university/</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4748B"/>
        <w:sz w:val="16"/>
        <w:szCs w:val="16"/>
      </w:rPr>
      <w:t xml:space="preserve">Template from validemic.com. Not legal advice: have it reviewed for your institution before use.   </w:t>
    </w:r>
    <w:r>
      <w:rPr>
        <w:color w:val="64748B"/>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120"/>
    </w:pPr>
    <w:rPr>
      <w:b/>
      <w:bCs/>
      <w:color w:val="0F1F38"/>
      <w:sz w:val="40"/>
      <w:szCs w:val="40"/>
    </w:rPr>
  </w:style>
  <w:style w:type="paragraph" w:styleId="Heading1">
    <w:name w:val="Heading 1"/>
    <w:basedOn w:val="Normal"/>
    <w:next w:val="Normal"/>
    <w:qFormat/>
    <w:pPr>
      <w:spacing w:after="120" w:before="320"/>
      <w:outlineLvl w:val="0"/>
    </w:pPr>
    <w:rPr>
      <w:b/>
      <w:bCs/>
      <w:color w:val="0F1F38"/>
      <w:sz w:val="30"/>
      <w:szCs w:val="30"/>
    </w:rPr>
  </w:style>
  <w:style w:type="paragraph" w:styleId="Heading2">
    <w:name w:val="Heading 2"/>
    <w:basedOn w:val="Normal"/>
    <w:next w:val="Normal"/>
    <w:qFormat/>
    <w:pPr>
      <w:spacing w:after="100" w:before="240"/>
      <w:outlineLvl w:val="1"/>
    </w:pPr>
    <w:rPr>
      <w:b/>
      <w:bCs/>
      <w:color w:val="1D4589"/>
      <w:sz w:val="25"/>
      <w:szCs w:val="25"/>
    </w:rPr>
  </w:style>
  <w:style w:type="paragraph" w:styleId="Heading3">
    <w:name w:val="Heading 3"/>
    <w:basedOn w:val="Normal"/>
    <w:next w:val="Normal"/>
    <w:qFormat/>
    <w:pPr>
      <w:spacing w:after="80" w:before="200"/>
      <w:outlineLvl w:val="2"/>
    </w:pPr>
    <w:rPr>
      <w:b/>
      <w:bCs/>
      <w:color w:val="334155"/>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Record of Processing Activities (ROPA): template for universities</dc:title>
  <dc:creator>Validemic</dc:creator>
  <cp:lastModifiedBy>Un-named</cp:lastModifiedBy>
  <cp:revision>1</cp:revision>
  <dcterms:created xsi:type="dcterms:W3CDTF">2026-10-07T02:31:33.028Z</dcterms:created>
  <dcterms:modified xsi:type="dcterms:W3CDTF">2026-10-07T02:31:33.028Z</dcterms:modified>
</cp:coreProperties>
</file>

<file path=docProps/custom.xml><?xml version="1.0" encoding="utf-8"?>
<Properties xmlns="http://schemas.openxmlformats.org/officeDocument/2006/custom-properties" xmlns:vt="http://schemas.openxmlformats.org/officeDocument/2006/docPropsVTypes"/>
</file>