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Transfer impact assessment (TIA): template for universities</w:t>
      </w:r>
    </w:p>
    <w:p>
      <w:pPr>
        <w:spacing w:after="240"/>
      </w:pPr>
      <w:r>
        <w:rPr>
          <w:color w:val="64748B"/>
        </w:rPr>
        <w:t xml:space="preserve">For transfers of personal data outside the EEA that rely on an Article 46 GDPR tool such as the 2021 standard contractual clauses. Follows the six steps of EDPB Recommendations 01/2020 and Clause 14 of the SCCs. Version 1.0, October 2026.</w:t>
      </w:r>
    </w:p>
    <w:p>
      <w:pPr>
        <w:pBdr>
          <w:left w:val="single" w:color="F59E0B" w:sz="18" w:space="8"/>
        </w:pBdr>
        <w:shd w:fill="FFFBEB" w:color="auto" w:val="clear"/>
        <w:spacing w:after="160" w:before="120"/>
      </w:pPr>
      <w:r>
        <w:rPr>
          <w:i/>
          <w:iCs/>
        </w:rPr>
        <w:t xml:space="preserve">Text in </w:t>
      </w:r>
      <w:r>
        <w:rPr>
          <w:i/>
          <w:iCs/>
          <w:highlight w:val="yellow"/>
          <w:highlightCs w:val="yellow"/>
        </w:rPr>
        <w:t xml:space="preserve">[square brackets]</w:t>
      </w:r>
      <w:r>
        <w:rPr>
          <w:i/>
          <w:iCs/>
        </w:rPr>
        <w:t xml:space="preserve"> is a placeholder. Rows marked EXAMPLE show the level of detail expected; they are illustrations, not statements about any real vendor or country assessment. Replace them and delete the example rows before use. This template is not legal advice: have the completed assessment reviewed by your data protection officer or legal team.</w:t>
      </w:r>
    </w:p>
    <w:p>
      <w:pPr>
        <w:pStyle w:val="Heading1"/>
      </w:pPr>
      <w:r>
        <w:t xml:space="preserve">Before you start: is a TIA needed?</w:t>
      </w:r>
    </w:p>
    <w:p>
      <w:pPr>
        <w:spacing w:after="120"/>
      </w:pPr>
      <w:r>
        <w:t xml:space="preserve">Answer these questions first. A TIA under this template is needed only if the answer to question 1 is yes and the answers to questions 2 and 3 are no.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152"/>
        <w:gridCol w:w="1625"/>
        <w:gridCol w:w="3249"/>
      </w:tblGrid>
      <w:tr>
        <w:trPr>
          <w:tblHeader/>
        </w:trPr>
        <w:tc>
          <w:tcPr>
            <w:tcW w:type="dxa" w:w="415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Answer</w:t>
            </w:r>
          </w:p>
        </w:tc>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If the answer is...</w:t>
            </w:r>
          </w:p>
        </w:tc>
      </w:tr>
      <w:tr>
        <w:tc>
          <w:tcPr>
            <w:tcW w:type="dxa" w:w="415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 Is personal data transmitted to, or made accessible from, a country outside the EEA? Remote access, for example by a vendor's support staff, counts.</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 Chapter V GDPR does not apply. Record the reasoning and stop here.</w:t>
            </w:r>
          </w:p>
        </w:tc>
      </w:tr>
      <w:tr>
        <w:tc>
          <w:tcPr>
            <w:tcW w:type="dxa" w:w="415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2. Is the importer in a country, territory or sector covered by a European Commission adequacy decision in force today?</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Yes: no TIA needed. Record the decision and monitor it.</w:t>
            </w:r>
          </w:p>
        </w:tc>
      </w:tr>
      <w:tr>
        <w:tc>
          <w:tcPr>
            <w:tcW w:type="dxa" w:w="415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3. For a US importer: is the exact legal entity on the Data Privacy Framework List with an active EU-U.S. DPF certification that covers this type of data (HR or non-HR)?</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No / Not US]</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Yes: the adequacy decision applies; no TIA needed. Record the list check (date, status, data covered).</w:t>
            </w:r>
          </w:p>
        </w:tc>
      </w:tr>
      <w:tr>
        <w:tc>
          <w:tcPr>
            <w:tcW w:type="dxa" w:w="415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4. Which Article 46 tool will you rely on?</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[SCCs Module 1 / 2 / 3 / 4, BCRs, other]</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Article 46 tool: complete this TIA.</w:t>
            </w:r>
          </w:p>
        </w:tc>
      </w:tr>
      <w:tr>
        <w:tc>
          <w:tcPr>
            <w:tcW w:type="dxa" w:w="415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5. Is an Article 49 derogation being considered instead?</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Yes: stop and consult the DPO. Derogations are exceptions, and Art. 49(3) limits their use by public authorities.</w:t>
            </w:r>
          </w:p>
        </w:tc>
      </w:tr>
    </w:tbl>
    <w:p/>
    <w:p>
      <w:pPr>
        <w:pStyle w:val="Heading1"/>
      </w:pPr>
      <w:r>
        <w:t xml:space="preserve">Part A: Assessment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30"/>
        <w:gridCol w:w="5596"/>
      </w:tblGrid>
      <w:tr>
        <w:trPr>
          <w:tblHeader/>
        </w:trPr>
        <w:tc>
          <w:tcPr>
            <w:tcW w:type="dxa" w:w="343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Field</w:t>
            </w:r>
          </w:p>
        </w:tc>
        <w:tc>
          <w:tcPr>
            <w:tcW w:type="dxa" w:w="559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Entry</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TIA reference</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[TIA-2026-001]</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Processing activity and ROPA reference</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[Activity name, ROPA ID]</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exporter</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[University legal name, unit]</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importer (legal entity, address, country)</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[Vendor legal entity]</w:t>
            </w:r>
            <w:r>
              <w:t xml:space="preserve">, </w:t>
            </w:r>
            <w:r>
              <w:rPr>
                <w:highlight w:val="yellow"/>
                <w:highlightCs w:val="yellow"/>
              </w:rPr>
              <w:t xml:space="preserve">[country]</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Role of importer</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[Processor / sub-processor / controller / joint controller]</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Contract and DPA reference</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[Contract ID, DPA version, date signed]</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Related vendor assessment and DPIA</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[References]</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Assessment prepared by</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function]</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Reviewed by DPO</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date]</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Approved by</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function, date]</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Next review due</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[Date, at least annually and on any trigger listed in Part G]</w:t>
            </w:r>
          </w:p>
        </w:tc>
      </w:tr>
    </w:tbl>
    <w:p/>
    <w:p>
      <w:pPr>
        <w:pStyle w:val="Heading1"/>
      </w:pPr>
      <w:r>
        <w:t xml:space="preserve">Part B: Step 1, know your transfer</w:t>
      </w:r>
    </w:p>
    <w:p>
      <w:pPr>
        <w:spacing w:after="120"/>
      </w:pPr>
      <w:r>
        <w:t xml:space="preserve">Describe the transfer specifically. Clause 14(b)(i) of the SCCs lists the circumstances that must be taken into account. Build on the record of processing activities (Art. 30(1)(e) GDPR).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30"/>
        <w:gridCol w:w="5596"/>
      </w:tblGrid>
      <w:tr>
        <w:trPr>
          <w:tblHeader/>
        </w:trPr>
        <w:tc>
          <w:tcPr>
            <w:tcW w:type="dxa" w:w="343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Element</w:t>
            </w:r>
          </w:p>
        </w:tc>
        <w:tc>
          <w:tcPr>
            <w:tcW w:type="dxa" w:w="559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Description</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Purpose of the transfer</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[e.g. transcription of research interviews by a cloud AI service]</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Categories of data subjects</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[e.g. research participants, staff]</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Categories of personal data</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[List. Flag special category data (Art. 9) and criminal offence data (Art. 10).]</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Format of the data at the importer</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 the clear / pseudonymised / encrypted with keys held by the university]</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Volume and frequency</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[e.g. about 40 recordings per project; continuous during the project]</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Mode of transfer</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[Upload to importer's cloud / remote access to EEA-hosted data / API]</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Storage location(s)</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[Countries and regions, including backups]</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Countries from which data can be accessed</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[Including support and engineering access]</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Onward transfers and sub-processors</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[List each with country and the tool used, see table B2]</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Retention at the importer</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[Period; deletion on termination]</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Can the purpose be met without the transfer?</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No, with reasons: EEA alternative, anonymisation, minimisation]</w:t>
            </w:r>
          </w:p>
        </w:tc>
      </w:tr>
    </w:tbl>
    <w:p/>
    <w:p>
      <w:pPr>
        <w:pStyle w:val="Heading3"/>
      </w:pPr>
      <w:r>
        <w:t xml:space="preserve">Table B2: Onward transfers and sub-processors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1986"/>
        <w:gridCol w:w="1444"/>
        <w:gridCol w:w="1444"/>
        <w:gridCol w:w="2166"/>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Sub-processor</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Service</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Country</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Data in the clear?</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Transfer tool</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w:t>
            </w:r>
            <w:r>
              <w:rPr>
                <w:highlight w:val="yellow"/>
                <w:highlightCs w:val="yellow"/>
              </w:rPr>
              <w:t xml:space="preserve">[Cloud hosting provider]</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Infrastructure hosting</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[EU region]</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Encrypted at rest; provider holds keys</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 transfer if no access from third countries; otherwise </w:t>
            </w:r>
            <w:r>
              <w:rPr>
                <w:highlight w:val="yellow"/>
                <w:highlightCs w:val="yellow"/>
              </w:rPr>
              <w:t xml:space="preserve">[tool]</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w:t>
            </w:r>
            <w:r>
              <w:rPr>
                <w:highlight w:val="yellow"/>
                <w:highlightCs w:val="yellow"/>
              </w:rPr>
              <w:t xml:space="preserve">[Model provider]</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Speech-to-text inference</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United States</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Yes</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[DPF certification of that entity / SCCs Module 3]</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Part C: Step 2, identify the transfer tool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Answer</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Transfer tool relied on (Art. 46 GDPR)</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[Commission SCCs, Decision (EU) 2021/914, Module 2]</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Are the clauses incorporated unchanged, with annexes completed?</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No. Note any changes: the SCCs may not be modified in ways that contradict them.]</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Docking clause or sub-processor clauses in place for onward transfers?</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[Clause 7, Clause 9, Clause 8.7 or 8.8 references]</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Is a fallback tool also in the contract?</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[e.g. SCCs that apply if a DPF certification lapses]</w:t>
            </w:r>
          </w:p>
        </w:tc>
      </w:tr>
    </w:tbl>
    <w:p/>
    <w:p>
      <w:pPr>
        <w:pStyle w:val="Heading1"/>
      </w:pPr>
      <w:r>
        <w:t xml:space="preserve">Part D: Step 3, assess the law and practice of the destination country</w:t>
      </w:r>
    </w:p>
    <w:p>
      <w:pPr>
        <w:spacing w:after="120"/>
      </w:pPr>
      <w:r>
        <w:t xml:space="preserve">Focus on laws and practices relevant to this transfer and this importer: laws that require disclosure of data to public authorities or allow access by them, and the limitations and safeguards that apply (Clause 14(b)(ii) SCCs). Use the EDPB European Essential Guarantees as the benchmark. Cite every source with its date.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49"/>
        <w:gridCol w:w="3610"/>
        <w:gridCol w:w="2166"/>
      </w:tblGrid>
      <w:tr>
        <w:trPr>
          <w:tblHeader/>
        </w:trPr>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Finding</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Sources (title, date read)</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Which laws could require the importer to disclose data to public authorities or allow access (surveillance, law enforcement, other)?</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Is the importer, or could it be, within the scope of those laws (for example as a provider of electronic communication or cloud services)?</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Are access powers limited by clear, precise and accessible rules? (Guarantee A)</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Are necessity and proportionality demonstrated for the objectives pursued? (Guarantee B)</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Is there independent oversight? (Guarantee C)</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Are effective remedies available to EU individuals? (Guarantee D)</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Practice: is there evidence that problematic laws are applied in practice to comparable importers or data? Include the importer's transparency reports and any documented request history (Clause 14, footnote 12).</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Has the Commission or the EDPB assessed this country? (For the US, the DPF adequacy decision assesses safeguards that also apply to transfers under SCCs.)</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3"/>
      </w:pPr>
      <w:r>
        <w:t xml:space="preserve">Conclusion of Step 3</w:t>
      </w:r>
    </w:p>
    <w:p>
      <w:pPr>
        <w:spacing w:after="120"/>
      </w:pPr>
      <w:r>
        <w:t xml:space="preserve">Select one and explain:</w:t>
      </w:r>
    </w:p>
    <w:p>
      <w:pPr>
        <w:pStyle w:val="ListParagraph"/>
        <w:numPr>
          <w:ilvl w:val="0"/>
          <w:numId w:val="2"/>
        </w:numPr>
      </w:pPr>
      <w:r>
        <w:rPr>
          <w:highlight w:val="yellow"/>
          <w:highlightCs w:val="yellow"/>
        </w:rPr>
        <w:t xml:space="preserve">[ ]</w:t>
      </w:r>
      <w:r>
        <w:t xml:space="preserve"> The law and practice do not impinge on the effectiveness of the transfer tool for this transfer. No supplementary measures are needed. Reasons: </w:t>
      </w:r>
      <w:r>
        <w:rPr>
          <w:highlight w:val="yellow"/>
          <w:highlightCs w:val="yellow"/>
        </w:rPr>
        <w:t xml:space="preserve">[ ]</w:t>
      </w:r>
    </w:p>
    <w:p>
      <w:pPr>
        <w:pStyle w:val="ListParagraph"/>
        <w:numPr>
          <w:ilvl w:val="0"/>
          <w:numId w:val="2"/>
        </w:numPr>
      </w:pPr>
      <w:r>
        <w:rPr>
          <w:highlight w:val="yellow"/>
          <w:highlightCs w:val="yellow"/>
        </w:rPr>
        <w:t xml:space="preserve">[ ]</w:t>
      </w:r>
      <w:r>
        <w:t xml:space="preserve"> Problematic legislation exists, but there is documented reason to believe it will not be applied in practice to these data and this importer. Evidence: </w:t>
      </w:r>
      <w:r>
        <w:rPr>
          <w:highlight w:val="yellow"/>
          <w:highlightCs w:val="yellow"/>
        </w:rPr>
        <w:t xml:space="preserve">[ ]</w:t>
      </w:r>
    </w:p>
    <w:p>
      <w:pPr>
        <w:pStyle w:val="ListParagraph"/>
        <w:numPr>
          <w:ilvl w:val="0"/>
          <w:numId w:val="2"/>
        </w:numPr>
      </w:pPr>
      <w:r>
        <w:rPr>
          <w:highlight w:val="yellow"/>
          <w:highlightCs w:val="yellow"/>
        </w:rPr>
        <w:t xml:space="preserve">[ ]</w:t>
      </w:r>
      <w:r>
        <w:t xml:space="preserve"> Problematic legislation could apply. Supplementary measures are needed (Part E).</w:t>
      </w:r>
    </w:p>
    <w:p>
      <w:pPr>
        <w:pStyle w:val="ListParagraph"/>
        <w:numPr>
          <w:ilvl w:val="0"/>
          <w:numId w:val="2"/>
        </w:numPr>
      </w:pPr>
      <w:r>
        <w:rPr>
          <w:highlight w:val="yellow"/>
          <w:highlightCs w:val="yellow"/>
        </w:rPr>
        <w:t xml:space="preserve">[ ]</w:t>
      </w:r>
      <w:r>
        <w:t xml:space="preserve"> The law or practice prevents the importer from complying, and no effective measures exist. The transfer must not proceed, or must be suspended.</w:t>
      </w:r>
    </w:p>
    <w:p>
      <w:pPr>
        <w:pStyle w:val="Heading1"/>
      </w:pPr>
      <w:r>
        <w:t xml:space="preserve">Part E: Step 4, supplementary measures</w:t>
      </w:r>
    </w:p>
    <w:p>
      <w:pPr>
        <w:spacing w:after="120"/>
      </w:pPr>
      <w:r>
        <w:t xml:space="preserve">Measures must be effective against the specific risk identified in Part D. The EDPB says transport and at-rest encryption do not help where the importer needs the data in the clear and holds the keys (Recommendations 01/2020, Use Cases 6 and 7).</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1444"/>
        <w:gridCol w:w="2527"/>
        <w:gridCol w:w="2347"/>
      </w:tblGrid>
      <w:tr>
        <w:trPr>
          <w:tblHeader/>
        </w:trPr>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Measure</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Type</w:t>
            </w:r>
          </w:p>
        </w:tc>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What risk it addresses</w:t>
            </w:r>
          </w:p>
        </w:tc>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Effective? Why</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Pseudonymise transcripts before any analysis outside the EEA; key kept by the research team in the EEA</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Technical</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Identification of participants from data accessed in the destination country</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[Partly: audio is identifiable before transcription]</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Importer commits to challenge disproportionate access requests and publish a transparency report</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Contractual</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Unlawful or disproportionate requests</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[Supports, but cannot by itself stop lawful access]</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Disable training on customer data; set shortest retention</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Organisational / technical</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Volume and duration of data exposed</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[Reduces exposure]</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Part F: Step 5, procedural steps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16"/>
        <w:gridCol w:w="3610"/>
      </w:tblGrid>
      <w:tr>
        <w:trPr>
          <w:tblHeader/>
        </w:trPr>
        <w:tc>
          <w:tcPr>
            <w:tcW w:type="dxa" w:w="541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Step</w:t>
            </w:r>
          </w:p>
        </w:tc>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Status</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Supplementary measures written into the DPA or an addendum, without contradicting the SCCs</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[Done / Not needed / Pending]</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Supervisory authority consulted, if the measures change the SCCs or an ad hoc clause is used</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[Not needed / Date]</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Information to data subjects updated (Arts. 13(1)(f) and 14(1)(f) GDPR: transfer and safeguards)</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[Done / Pending]</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ROPA updated (Art. 30(1)(e))</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[Done / Pending]</w:t>
            </w:r>
          </w:p>
        </w:tc>
      </w:tr>
    </w:tbl>
    <w:p/>
    <w:p>
      <w:pPr>
        <w:pStyle w:val="Heading1"/>
      </w:pPr>
      <w:r>
        <w:t xml:space="preserve">Part G: Step 6, re-evaluation and triggers</w:t>
      </w:r>
    </w:p>
    <w:p>
      <w:pPr>
        <w:spacing w:after="120"/>
      </w:pPr>
      <w:r>
        <w:t xml:space="preserve">Re-evaluate at appropriate intervals. Re-run this assessment when any of the following happens:</w:t>
      </w:r>
    </w:p>
    <w:p>
      <w:pPr>
        <w:pStyle w:val="ListParagraph"/>
        <w:numPr>
          <w:ilvl w:val="0"/>
          <w:numId w:val="2"/>
        </w:numPr>
      </w:pPr>
      <w:r>
        <w:t xml:space="preserve">The importer notifies a change under Clause 14(e) SCCs, or a public authority access request under Clause 15.</w:t>
      </w:r>
    </w:p>
    <w:p>
      <w:pPr>
        <w:pStyle w:val="ListParagraph"/>
        <w:numPr>
          <w:ilvl w:val="0"/>
          <w:numId w:val="2"/>
        </w:numPr>
      </w:pPr>
      <w:r>
        <w:t xml:space="preserve">A new sub-processor, hosting location or support location is added.</w:t>
      </w:r>
    </w:p>
    <w:p>
      <w:pPr>
        <w:pStyle w:val="ListParagraph"/>
        <w:numPr>
          <w:ilvl w:val="0"/>
          <w:numId w:val="2"/>
        </w:numPr>
      </w:pPr>
      <w:r>
        <w:t xml:space="preserve">The adequacy situation changes: a decision is adopted, amended, suspended or annulled (for the US, including the outcome of Case C-703/25 P).</w:t>
      </w:r>
    </w:p>
    <w:p>
      <w:pPr>
        <w:pStyle w:val="ListParagraph"/>
        <w:numPr>
          <w:ilvl w:val="0"/>
          <w:numId w:val="2"/>
        </w:numPr>
      </w:pPr>
      <w:r>
        <w:t xml:space="preserve">Relevant laws in the destination country change.</w:t>
      </w:r>
    </w:p>
    <w:p>
      <w:pPr>
        <w:pStyle w:val="ListParagraph"/>
        <w:numPr>
          <w:ilvl w:val="0"/>
          <w:numId w:val="2"/>
        </w:numPr>
      </w:pPr>
      <w:r>
        <w:t xml:space="preserve">The data, purpose or volume changes, for example new special category data.</w:t>
      </w:r>
    </w:p>
    <w:p>
      <w:pPr>
        <w:pStyle w:val="ListParagraph"/>
        <w:numPr>
          <w:ilvl w:val="0"/>
          <w:numId w:val="2"/>
        </w:numPr>
      </w:pPr>
      <w:r>
        <w:t xml:space="preserve">The scheduled review date is reached: </w:t>
      </w:r>
      <w:r>
        <w:rPr>
          <w:highlight w:val="yellow"/>
          <w:highlightCs w:val="yellow"/>
        </w:rPr>
        <w:t xml:space="preserve">[date]</w:t>
      </w:r>
      <w:r>
        <w:t xml:space="preserve">.</w:t>
      </w:r>
    </w:p>
    <w:p>
      <w:pPr>
        <w:pStyle w:val="Heading1"/>
      </w:pPr>
      <w:r>
        <w:t xml:space="preserve">Part H: Decision and sign-off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30"/>
        <w:gridCol w:w="5596"/>
      </w:tblGrid>
      <w:tr>
        <w:trPr>
          <w:tblHeader/>
        </w:trPr>
        <w:tc>
          <w:tcPr>
            <w:tcW w:type="dxa" w:w="343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Item</w:t>
            </w:r>
          </w:p>
        </w:tc>
        <w:tc>
          <w:tcPr>
            <w:tcW w:type="dxa" w:w="559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Entry</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Decision</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[Proceed / Proceed with conditions / Do not proceed / Suspend]</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Conditions</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[List, with owner and deadline]</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Residual risk accepted by</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function, date]</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DPO opinion</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[Summary]</w:t>
            </w:r>
          </w:p>
        </w:tc>
      </w:tr>
      <w:tr>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Stored where</w:t>
            </w:r>
          </w:p>
        </w:tc>
        <w:tc>
          <w:tcPr>
            <w:tcW w:type="dxa" w:w="559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[Records system reference]</w:t>
            </w:r>
            <w:r>
              <w:t xml:space="preserve">. The assessment must be documented and made available to the supervisory authority on request (Clause 14(d) SCCs).</w:t>
            </w:r>
          </w:p>
        </w:tc>
      </w:tr>
    </w:tbl>
    <w:p/>
    <w:p>
      <w:pPr>
        <w:pStyle w:val="Heading1"/>
      </w:pPr>
      <w:r>
        <w:t xml:space="preserve">Review log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44"/>
        <w:gridCol w:w="1986"/>
        <w:gridCol w:w="2527"/>
        <w:gridCol w:w="3069"/>
      </w:tblGrid>
      <w:tr>
        <w:trPr>
          <w:tblHeader/>
        </w:trPr>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Date</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Reviewer</w:t>
            </w:r>
          </w:p>
        </w:tc>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Trigger</w:t>
            </w:r>
          </w:p>
        </w:tc>
        <w:tc>
          <w:tcPr>
            <w:tcW w:type="dxa" w:w="306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Changes made</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[Scheduled / new sub-processor / law change]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Key sources</w:t>
      </w:r>
    </w:p>
    <w:p>
      <w:pPr>
        <w:pStyle w:val="ListParagraph"/>
        <w:numPr>
          <w:ilvl w:val="0"/>
          <w:numId w:val="2"/>
        </w:numPr>
      </w:pPr>
      <w:r>
        <w:t xml:space="preserve">Regulation (EU) 2016/679 (GDPR), Chapter V (Articles 44 to 49).</w:t>
      </w:r>
    </w:p>
    <w:p>
      <w:pPr>
        <w:pStyle w:val="ListParagraph"/>
        <w:numPr>
          <w:ilvl w:val="0"/>
          <w:numId w:val="2"/>
        </w:numPr>
      </w:pPr>
      <w:r>
        <w:t xml:space="preserve">Commission Implementing Decision (EU) 2021/914 (standard contractual clauses), Clauses 14 and 15.</w:t>
      </w:r>
    </w:p>
    <w:p>
      <w:pPr>
        <w:pStyle w:val="ListParagraph"/>
        <w:numPr>
          <w:ilvl w:val="0"/>
          <w:numId w:val="2"/>
        </w:numPr>
      </w:pPr>
      <w:r>
        <w:t xml:space="preserve">EDPB Recommendations 01/2020 on supplementary measures, version 2.0 (adopted 18 June 2021).</w:t>
      </w:r>
    </w:p>
    <w:p>
      <w:pPr>
        <w:pStyle w:val="ListParagraph"/>
        <w:numPr>
          <w:ilvl w:val="0"/>
          <w:numId w:val="2"/>
        </w:numPr>
      </w:pPr>
      <w:r>
        <w:t xml:space="preserve">EDPB Recommendations 02/2020 on the European Essential Guarantees for surveillance measures.</w:t>
      </w:r>
    </w:p>
    <w:p>
      <w:pPr>
        <w:pStyle w:val="ListParagraph"/>
        <w:numPr>
          <w:ilvl w:val="0"/>
          <w:numId w:val="2"/>
        </w:numPr>
      </w:pPr>
      <w:r>
        <w:t xml:space="preserve">Commission Implementing Decision (EU) 2023/1795 (EU-U.S. Data Privacy Framework) and the DPF List at dataprivacyframework.gov.</w:t>
      </w:r>
    </w:p>
    <w:p>
      <w:pPr>
        <w:pStyle w:val="ListParagraph"/>
        <w:numPr>
          <w:ilvl w:val="0"/>
          <w:numId w:val="2"/>
        </w:numPr>
      </w:pPr>
      <w:r>
        <w:t xml:space="preserve">Guide and worked examples: validemic.com/guides/tia-template/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Template from validemic.com. Not legal advice: have it reviewed for your institution before use.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impact assessment (TIA): template for universities</dc:title>
  <dc:creator>Validemic</dc:creator>
  <cp:lastModifiedBy>Un-named</cp:lastModifiedBy>
  <cp:revision>1</cp:revision>
  <dcterms:created xsi:type="dcterms:W3CDTF">2026-10-07T02:31:33.051Z</dcterms:created>
  <dcterms:modified xsi:type="dcterms:W3CDTF">2026-10-07T02:31:33.051Z</dcterms:modified>
</cp:coreProperties>
</file>

<file path=docProps/custom.xml><?xml version="1.0" encoding="utf-8"?>
<Properties xmlns="http://schemas.openxmlformats.org/officeDocument/2006/custom-properties" xmlns:vt="http://schemas.openxmlformats.org/officeDocument/2006/docPropsVTypes"/>
</file>