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Verwerkersovereenkomst</w:t>
      </w:r>
    </w:p>
    <w:p>
      <w:pPr>
        <w:spacing w:after="240"/>
      </w:pPr>
      <w:r>
        <w:rPr>
          <w:color w:val="64748B"/>
        </w:rPr>
        <w:t xml:space="preserve">Model voor universiteiten, hogescholen en onderzoeksinstellingen · versie oktober 2026 · validemic.com/gidsen/verwerkersovereenkomst-model/</w:t>
      </w:r>
    </w:p>
    <w:p>
      <w:pPr>
        <w:pBdr>
          <w:left w:val="single" w:color="F59E0B" w:sz="18" w:space="8"/>
        </w:pBdr>
        <w:shd w:fill="FFFBEB" w:color="auto" w:val="clear"/>
        <w:spacing w:after="160" w:before="120"/>
      </w:pPr>
      <w:r>
        <w:rPr>
          <w:i/>
          <w:iCs/>
        </w:rPr>
        <w:t xml:space="preserve">Instructie (verwijder dit blok voor verzending). Dit model regelt de verwerking van persoonsgegevens door een leverancier (verwerker) namens uw instelling (verwerkingsverantwoordelijke) en bevat alle bepalingen uit artikel 28 lid 3 AVG. Vul alle geel gemarkeerde </w:t>
      </w:r>
      <w:r>
        <w:rPr>
          <w:i/>
          <w:iCs/>
          <w:highlight w:val="yellow"/>
          <w:highlightCs w:val="yellow"/>
        </w:rPr>
        <w:t xml:space="preserve">[invulvelden]</w:t>
      </w:r>
      <w:r>
        <w:rPr>
          <w:i/>
          <w:iCs/>
        </w:rPr>
        <w:t xml:space="preserve"> in, maak een keuze waar </w:t>
      </w:r>
      <w:r>
        <w:rPr>
          <w:i/>
          <w:iCs/>
          <w:highlight w:val="yellow"/>
          <w:highlightCs w:val="yellow"/>
        </w:rPr>
        <w:t xml:space="preserve">[KEUZE]</w:t>
      </w:r>
      <w:r>
        <w:rPr>
          <w:i/>
          <w:iCs/>
        </w:rPr>
        <w:t xml:space="preserve"> staat en verwijder de niet gekozen variant. Vul de bijlagen volledig en concreet in: het EDPB verwacht dat een verwerkersovereenkomst de AVG niet slechts herhaalt, maar uitwerkt hoe eraan wordt voldaan. Schrijft uw instelling het SURF Model Verwerkersovereenkomst voor, gebruik dan dat model.</w:t>
      </w:r>
    </w:p>
    <w:p>
      <w:pPr>
        <w:pBdr>
          <w:left w:val="single" w:color="F59E0B" w:sz="18" w:space="8"/>
        </w:pBdr>
        <w:shd w:fill="FFFBEB" w:color="auto" w:val="clear"/>
        <w:spacing w:after="160" w:before="120"/>
      </w:pPr>
      <w:r>
        <w:rPr>
          <w:i/>
          <w:iCs/>
        </w:rPr>
        <w:t xml:space="preserve">Dit model is geen juridisch advies. Laat het voor gebruik toetsen door de jurist of functionaris gegevensbescherming (FG) van uw instelling en stem het af op de hoofdovereenkomst met de leverancier.</w:t>
      </w:r>
    </w:p>
    <w:p>
      <w:pPr>
        <w:pStyle w:val="Heading1"/>
      </w:pPr>
      <w:r>
        <w:t xml:space="preserve">Partijen</w:t>
      </w:r>
    </w:p>
    <w:p>
      <w:pPr>
        <w:spacing w:after="120"/>
      </w:pPr>
      <w:r>
        <w:t xml:space="preserve">1. </w:t>
      </w:r>
      <w:r>
        <w:rPr>
          <w:b/>
          <w:bCs/>
        </w:rPr>
        <w:t xml:space="preserve">[Naam instelling]</w:t>
      </w:r>
      <w:r>
        <w:t xml:space="preserve">, gevestigd aan </w:t>
      </w:r>
      <w:r>
        <w:rPr>
          <w:highlight w:val="yellow"/>
          <w:highlightCs w:val="yellow"/>
        </w:rPr>
        <w:t xml:space="preserve">[adres]</w:t>
      </w:r>
      <w:r>
        <w:t xml:space="preserve"> te </w:t>
      </w:r>
      <w:r>
        <w:rPr>
          <w:highlight w:val="yellow"/>
          <w:highlightCs w:val="yellow"/>
        </w:rPr>
        <w:t xml:space="preserve">[plaats]</w:t>
      </w:r>
      <w:r>
        <w:t xml:space="preserve">, rechtsgeldig vertegenwoordigd door </w:t>
      </w:r>
      <w:r>
        <w:rPr>
          <w:highlight w:val="yellow"/>
          <w:highlightCs w:val="yellow"/>
        </w:rPr>
        <w:t xml:space="preserve">[naam en functie]</w:t>
      </w:r>
      <w:r>
        <w:t xml:space="preserve"> (hierna: </w:t>
      </w:r>
      <w:r>
        <w:rPr>
          <w:b/>
          <w:bCs/>
        </w:rPr>
        <w:t xml:space="preserve">Verwerkingsverantwoordelijke</w:t>
      </w:r>
      <w:r>
        <w:t xml:space="preserve">); en</w:t>
      </w:r>
    </w:p>
    <w:p>
      <w:pPr>
        <w:spacing w:after="120"/>
      </w:pPr>
      <w:r>
        <w:t xml:space="preserve">2. </w:t>
      </w:r>
      <w:r>
        <w:rPr>
          <w:b/>
          <w:bCs/>
        </w:rPr>
        <w:t xml:space="preserve">[Naam leverancier]</w:t>
      </w:r>
      <w:r>
        <w:t xml:space="preserve">, gevestigd aan </w:t>
      </w:r>
      <w:r>
        <w:rPr>
          <w:highlight w:val="yellow"/>
          <w:highlightCs w:val="yellow"/>
        </w:rPr>
        <w:t xml:space="preserve">[adres]</w:t>
      </w:r>
      <w:r>
        <w:t xml:space="preserve"> te </w:t>
      </w:r>
      <w:r>
        <w:rPr>
          <w:highlight w:val="yellow"/>
          <w:highlightCs w:val="yellow"/>
        </w:rPr>
        <w:t xml:space="preserve">[plaats]</w:t>
      </w:r>
      <w:r>
        <w:t xml:space="preserve">, ingeschreven onder </w:t>
      </w:r>
      <w:r>
        <w:rPr>
          <w:highlight w:val="yellow"/>
          <w:highlightCs w:val="yellow"/>
        </w:rPr>
        <w:t xml:space="preserve">[KvK-nummer of buitenlands registratienummer]</w:t>
      </w:r>
      <w:r>
        <w:t xml:space="preserve">, rechtsgeldig vertegenwoordigd door </w:t>
      </w:r>
      <w:r>
        <w:rPr>
          <w:highlight w:val="yellow"/>
          <w:highlightCs w:val="yellow"/>
        </w:rPr>
        <w:t xml:space="preserve">[naam en functie]</w:t>
      </w:r>
      <w:r>
        <w:t xml:space="preserve"> (hierna: </w:t>
      </w:r>
      <w:r>
        <w:rPr>
          <w:b/>
          <w:bCs/>
        </w:rPr>
        <w:t xml:space="preserve">Verwerker</w:t>
      </w:r>
      <w:r>
        <w:t xml:space="preserve">),</w:t>
      </w:r>
    </w:p>
    <w:p>
      <w:pPr>
        <w:spacing w:after="120"/>
      </w:pPr>
      <w:r>
        <w:t xml:space="preserve">hierna samen </w:t>
      </w:r>
      <w:r>
        <w:rPr>
          <w:b/>
          <w:bCs/>
        </w:rPr>
        <w:t xml:space="preserve">Partijen</w:t>
      </w:r>
      <w:r>
        <w:t xml:space="preserve"> en ieder afzonderlijk </w:t>
      </w:r>
      <w:r>
        <w:rPr>
          <w:b/>
          <w:bCs/>
        </w:rPr>
        <w:t xml:space="preserve">Partij</w:t>
      </w:r>
      <w:r>
        <w:t xml:space="preserve">.</w:t>
      </w:r>
    </w:p>
    <w:p>
      <w:pPr>
        <w:pStyle w:val="Heading2"/>
      </w:pPr>
      <w:r>
        <w:t xml:space="preserve">Overwegingen</w:t>
      </w:r>
    </w:p>
    <w:p>
      <w:pPr>
        <w:pStyle w:val="ListParagraph"/>
        <w:numPr>
          <w:ilvl w:val="0"/>
          <w:numId w:val="2"/>
        </w:numPr>
      </w:pPr>
      <w:r>
        <w:t xml:space="preserve">Partijen hebben op </w:t>
      </w:r>
      <w:r>
        <w:rPr>
          <w:highlight w:val="yellow"/>
          <w:highlightCs w:val="yellow"/>
        </w:rPr>
        <w:t xml:space="preserve">[datum]</w:t>
      </w:r>
      <w:r>
        <w:t xml:space="preserve"> een overeenkomst gesloten voor </w:t>
      </w:r>
      <w:r>
        <w:rPr>
          <w:highlight w:val="yellow"/>
          <w:highlightCs w:val="yellow"/>
        </w:rPr>
        <w:t xml:space="preserve">[omschrijving dienst, bijvoorbeeld het leveren van een enquêteplatform]</w:t>
      </w:r>
      <w:r>
        <w:t xml:space="preserve"> (hierna: de </w:t>
      </w:r>
      <w:r>
        <w:rPr>
          <w:b/>
          <w:bCs/>
        </w:rPr>
        <w:t xml:space="preserve">Hoofdovereenkomst</w:t>
      </w:r>
      <w:r>
        <w:t xml:space="preserve">).</w:t>
      </w:r>
    </w:p>
    <w:p>
      <w:pPr>
        <w:pStyle w:val="ListParagraph"/>
        <w:numPr>
          <w:ilvl w:val="0"/>
          <w:numId w:val="2"/>
        </w:numPr>
      </w:pPr>
      <w:r>
        <w:t xml:space="preserve">Bij de uitvoering van de Hoofdovereenkomst verwerkt Verwerker persoonsgegevens ten behoeve van Verwerkingsverantwoordelijke. Verwerkingsverantwoordelijke bepaalt het doel van en de middelen voor die verwerking.</w:t>
      </w:r>
    </w:p>
    <w:p>
      <w:pPr>
        <w:pStyle w:val="ListParagraph"/>
        <w:numPr>
          <w:ilvl w:val="0"/>
          <w:numId w:val="2"/>
        </w:numPr>
      </w:pPr>
      <w:r>
        <w:t xml:space="preserve">Partijen willen hun afspraken over deze verwerking vastleggen zoals artikel 28 van de Algemene verordening gegevensbescherming (AVG) vereist.</w:t>
      </w:r>
    </w:p>
    <w:p>
      <w:pPr>
        <w:spacing w:after="120"/>
      </w:pPr>
      <w:r>
        <w:t xml:space="preserve">Partijen komen het volgende overeen.</w:t>
      </w:r>
    </w:p>
    <w:p>
      <w:pPr>
        <w:pStyle w:val="Heading2"/>
      </w:pPr>
      <w:r>
        <w:t xml:space="preserve">Artikel 1. Begrippen en rangorde</w:t>
      </w:r>
    </w:p>
    <w:p>
      <w:pPr>
        <w:spacing w:after="120"/>
      </w:pPr>
      <w:r>
        <w:t xml:space="preserve">1.1 Begrippen met een hoofdletter hebben de betekenis die artikel 4 AVG eraan geeft, tenzij in deze Verwerkersovereenkomst anders bepaald. </w:t>
      </w:r>
      <w:r>
        <w:rPr>
          <w:b/>
          <w:bCs/>
        </w:rPr>
        <w:t xml:space="preserve">Subverwerker</w:t>
      </w:r>
      <w:r>
        <w:t xml:space="preserve"> is een andere verwerker die Verwerker inschakelt voor de verwerking van Persoonsgegevens namens Verwerkingsverantwoordelijke. </w:t>
      </w:r>
      <w:r>
        <w:rPr>
          <w:b/>
          <w:bCs/>
        </w:rPr>
        <w:t xml:space="preserve">Persoonsgegevens</w:t>
      </w:r>
      <w:r>
        <w:t xml:space="preserve"> zijn de persoonsgegevens die Verwerker in het kader van de Hoofdovereenkomst ten behoeve van Verwerkingsverantwoordelijke verwerkt, zoals beschreven in Bijlage 1.</w:t>
      </w:r>
    </w:p>
    <w:p>
      <w:pPr>
        <w:spacing w:after="120"/>
      </w:pPr>
      <w:r>
        <w:t xml:space="preserve">1.2 De bijlagen maken deel uit van deze Verwerkersovereenkomst.</w:t>
      </w:r>
    </w:p>
    <w:p>
      <w:pPr>
        <w:spacing w:after="120"/>
      </w:pPr>
      <w:r>
        <w:t xml:space="preserve">1.3 Bij strijdigheid tussen deze Verwerkersovereenkomst en de Hoofdovereenkomst, algemene voorwaarden of andere documenten van Verwerker gaat deze Verwerkersovereenkomst voor, voor zover het de verwerking van Persoonsgegevens betreft. Algemene voorwaarden van Verwerker die deze Verwerkersovereenkomst eenzijdig wijzigen, zijn niet van toepassing.</w:t>
      </w:r>
    </w:p>
    <w:p>
      <w:pPr>
        <w:pStyle w:val="Heading2"/>
      </w:pPr>
      <w:r>
        <w:t xml:space="preserve">Artikel 2. Onderwerp, instructies en doelbinding</w:t>
      </w:r>
    </w:p>
    <w:p>
      <w:pPr>
        <w:spacing w:after="120"/>
      </w:pPr>
      <w:r>
        <w:t xml:space="preserve">2.1 Verwerker verwerkt de Persoonsgegevens uitsluitend op basis van schriftelijke instructies van Verwerkingsverantwoordelijke, ook wat betreft doorgiften naar een derde land of een internationale organisatie. Deze Verwerkersovereenkomst, de Hoofdovereenkomst en Bijlage 1 gelden als de instructies van Verwerkingsverantwoordelijke. Verwerkingsverantwoordelijke kan aanvullende schriftelijke instructies geven.</w:t>
      </w:r>
    </w:p>
    <w:p>
      <w:pPr>
        <w:spacing w:after="120"/>
      </w:pPr>
      <w:r>
        <w:t xml:space="preserve">2.2 Onderwerp, duur, aard en doel van de verwerking, de soorten Persoonsgegevens en de categorieën betrokkenen staan in Bijlage 1.</w:t>
      </w:r>
    </w:p>
    <w:p>
      <w:pPr>
        <w:spacing w:after="120"/>
      </w:pPr>
      <w:r>
        <w:t xml:space="preserve">2.3 Verwerker gebruikt de Persoonsgegevens niet voor eigen doeleinden, waaronder begrepen het ontwikkelen, trainen of verbeteren van eigen producten of AI-modellen, profilering, marketing of verkoop aan derden. </w:t>
      </w:r>
      <w:r>
        <w:rPr>
          <w:highlight w:val="yellow"/>
          <w:highlightCs w:val="yellow"/>
        </w:rPr>
        <w:t xml:space="preserve">[KEUZE: Geen uitzonderingen. / Uitsluitend de volgende, uitdrukkelijk omschreven eigen doeleinden zijn toegestaan: [omschrijving]</w:t>
      </w:r>
      <w:r>
        <w:t xml:space="preserve">. Voor die verwerkingen is Verwerker zelf verwerkingsverantwoordelijke en hij verwerkt daarvoor alleen geaggregeerde of geanonimiseerde gegevens waar dat mogelijk is.]</w:t>
      </w:r>
    </w:p>
    <w:p>
      <w:pPr>
        <w:spacing w:after="120"/>
      </w:pPr>
      <w:r>
        <w:t xml:space="preserve">2.4 Is Verwerker op grond van Unierecht of het recht van een lidstaat verplicht de Persoonsgegevens anders te verwerken dan volgens de instructies, dan informeert hij Verwerkingsverantwoordelijke vóór de verwerking over dat wettelijk voorschrift, tenzij die wetgeving dat om gewichtige redenen van algemeen belang verbiedt.</w:t>
      </w:r>
    </w:p>
    <w:p>
      <w:pPr>
        <w:spacing w:after="120"/>
      </w:pPr>
      <w:r>
        <w:t xml:space="preserve">2.5 Verwerker stelt Verwerkingsverantwoordelijke onmiddellijk in kennis als een instructie naar zijn mening in strijd is met de AVG of andere bepalingen inzake gegevensbescherming. Verwerker mag de uitvoering van die instructie opschorten totdat Verwerkingsverantwoordelijke de instructie heeft bevestigd, gewijzigd of ingetrokken.</w:t>
      </w:r>
    </w:p>
    <w:p>
      <w:pPr>
        <w:pStyle w:val="Heading2"/>
      </w:pPr>
      <w:r>
        <w:t xml:space="preserve">Artikel 3. Geheimhouding</w:t>
      </w:r>
    </w:p>
    <w:p>
      <w:pPr>
        <w:spacing w:after="120"/>
      </w:pPr>
      <w:r>
        <w:t xml:space="preserve">3.1 Verwerker waarborgt dat iedereen die onder zijn gezag toegang heeft tot de Persoonsgegevens, zich schriftelijk tot geheimhouding heeft verbonden of door een passende wettelijke geheimhoudingsplicht is gebonden.</w:t>
      </w:r>
    </w:p>
    <w:p>
      <w:pPr>
        <w:spacing w:after="120"/>
      </w:pPr>
      <w:r>
        <w:t xml:space="preserve">3.2 Verwerker beperkt de toegang tot personen die die toegang nodig hebben voor de uitvoering van de Hoofdovereenkomst. Op verzoek toont Verwerker aan hoe hij aan dit artikel voldoet.</w:t>
      </w:r>
    </w:p>
    <w:p>
      <w:pPr>
        <w:pStyle w:val="Heading2"/>
      </w:pPr>
      <w:r>
        <w:t xml:space="preserve">Artikel 4. Beveiliging</w:t>
      </w:r>
    </w:p>
    <w:p>
      <w:pPr>
        <w:spacing w:after="120"/>
      </w:pPr>
      <w:r>
        <w:t xml:space="preserve">4.1 Verwerker neemt alle passende technische en organisatorische maatregelen die artikel 32 AVG vereist. De maatregelen staan in Bijlage 2.</w:t>
      </w:r>
    </w:p>
    <w:p>
      <w:pPr>
        <w:spacing w:after="120"/>
      </w:pPr>
      <w:r>
        <w:t xml:space="preserve">4.2 Verwerker evalueert de maatregelen ten minste </w:t>
      </w:r>
      <w:r>
        <w:rPr>
          <w:highlight w:val="yellow"/>
          <w:highlightCs w:val="yellow"/>
        </w:rPr>
        <w:t xml:space="preserve">[jaarlijks]</w:t>
      </w:r>
      <w:r>
        <w:t xml:space="preserve"> en past ze aan de stand van de techniek en de risico's aan. Wijzigingen mogen niet leiden tot een lager beveiligingsniveau dan in Bijlage 2 is vastgelegd. Wezenlijke wijzigingen meldt Verwerker vooraf schriftelijk aan Verwerkingsverantwoordelijke.</w:t>
      </w:r>
    </w:p>
    <w:p>
      <w:pPr>
        <w:pStyle w:val="Heading2"/>
      </w:pPr>
      <w:r>
        <w:t xml:space="preserve">Artikel 5. Subverwerkers</w:t>
      </w:r>
    </w:p>
    <w:p>
      <w:pPr>
        <w:spacing w:after="120"/>
      </w:pPr>
      <w:r>
        <w:t xml:space="preserve">5.1 </w:t>
      </w:r>
      <w:r>
        <w:rPr>
          <w:highlight w:val="yellow"/>
          <w:highlightCs w:val="yellow"/>
        </w:rPr>
        <w:t xml:space="preserve">[KEUZE A: specifieke toestemming]</w:t>
      </w:r>
      <w:r>
        <w:t xml:space="preserve"> Verwerker schakelt geen Subverwerker in zonder voorafgaande specifieke schriftelijke toestemming van Verwerkingsverantwoordelijke. De Subverwerkers die bij ondertekening zijn goedgekeurd, staan in Bijlage 3. Een verzoek om toestemming bevat naam, vestigingsplaats, verwerkingslocatie, taken en waarborgen van de beoogde Subverwerker. Een verzoek waarop Verwerkingsverantwoordelijke niet binnen </w:t>
      </w:r>
      <w:r>
        <w:rPr>
          <w:highlight w:val="yellow"/>
          <w:highlightCs w:val="yellow"/>
        </w:rPr>
        <w:t xml:space="preserve">[30]</w:t>
      </w:r>
      <w:r>
        <w:t xml:space="preserve"> dagen heeft gereageerd, geldt als afgewezen.</w:t>
      </w:r>
    </w:p>
    <w:p>
      <w:pPr>
        <w:spacing w:after="120"/>
      </w:pPr>
      <w:r>
        <w:t xml:space="preserve">5.1 </w:t>
      </w:r>
      <w:r>
        <w:rPr>
          <w:highlight w:val="yellow"/>
          <w:highlightCs w:val="yellow"/>
        </w:rPr>
        <w:t xml:space="preserve">[KEUZE B: algemene toestemming]</w:t>
      </w:r>
      <w:r>
        <w:t xml:space="preserve"> Verwerkingsverantwoordelijke geeft algemene schriftelijke toestemming voor het inschakelen van de Subverwerkers in Bijlage 3. Verwerker informeert Verwerkingsverantwoordelijke ten minste </w:t>
      </w:r>
      <w:r>
        <w:rPr>
          <w:highlight w:val="yellow"/>
          <w:highlightCs w:val="yellow"/>
        </w:rPr>
        <w:t xml:space="preserve">[30]</w:t>
      </w:r>
      <w:r>
        <w:t xml:space="preserve"> dagen vooraf actief en schriftelijk, per e-mail aan het contactpunt in Bijlage 1, over elke voorgenomen toevoeging of vervanging, met naam, vestigingsplaats, verwerkingslocatie, taken en waarborgen. Publicatie op een website geldt niet als informeren. Verwerkingsverantwoordelijke kan binnen die termijn gemotiveerd bezwaar maken. Bij bezwaar overleggen Partijen; de wijziging gaat niet in zolang geen overeenstemming is bereikt. Komen Partijen binnen </w:t>
      </w:r>
      <w:r>
        <w:rPr>
          <w:highlight w:val="yellow"/>
          <w:highlightCs w:val="yellow"/>
        </w:rPr>
        <w:t xml:space="preserve">[60]</w:t>
      </w:r>
      <w:r>
        <w:t xml:space="preserve"> dagen niet tot een oplossing, dan kan Verwerkingsverantwoordelijke de Hoofdovereenkomst geheel of gedeeltelijk opzeggen, zonder tot schadevergoeding gehouden te zijn.</w:t>
      </w:r>
    </w:p>
    <w:p>
      <w:pPr>
        <w:spacing w:after="120"/>
      </w:pPr>
      <w:r>
        <w:t xml:space="preserve">5.2 Verwerker legt iedere Subverwerker bij overeenkomst dezelfde verplichtingen inzake gegevensbescherming op als die in deze Verwerkersovereenkomst, in het bijzonder de verplichting afdoende garanties te bieden voor passende technische en organisatorische maatregelen. Op verzoek verstrekt Verwerker een afschrift van de relevante bepalingen.</w:t>
      </w:r>
    </w:p>
    <w:p>
      <w:pPr>
        <w:spacing w:after="120"/>
      </w:pPr>
      <w:r>
        <w:t xml:space="preserve">5.3 Verwerker blijft tegenover Verwerkingsverantwoordelijke volledig aansprakelijk voor het nakomen van de verplichtingen van Subverwerkers.</w:t>
      </w:r>
    </w:p>
    <w:p>
      <w:pPr>
        <w:pStyle w:val="Heading2"/>
      </w:pPr>
      <w:r>
        <w:t xml:space="preserve">Artikel 6. Doorgifte buiten de Europese Economische Ruimte</w:t>
      </w:r>
    </w:p>
    <w:p>
      <w:pPr>
        <w:spacing w:after="120"/>
      </w:pPr>
      <w:r>
        <w:t xml:space="preserve">6.1 Verwerker verwerkt de Persoonsgegevens uitsluitend binnen de Europese Economische Ruimte (EER), tenzij een doorgifte in Bijlage 4 staat of Verwerkingsverantwoordelijke daarvoor vooraf schriftelijk toestemming heeft gegeven. Dit geldt ook voor toegang op afstand vanuit een derde land, bijvoorbeeld voor beheer of ondersteuning, en voor verwerking door Subverwerkers of gelieerde ondernemingen van Verwerker.</w:t>
      </w:r>
    </w:p>
    <w:p>
      <w:pPr>
        <w:spacing w:after="120"/>
      </w:pPr>
      <w:r>
        <w:t xml:space="preserve">6.2 Een doorgifte vindt alleen plaats als aan hoofdstuk V AVG is voldaan. Bijlage 4 vermeldt per doorgifte het land, de ontvanger, het doorgifte-instrument (adequaatheidsbesluit, standaardcontractbepalingen of bindende bedrijfsvoorschriften) en eventuele aanvullende maatregelen.</w:t>
      </w:r>
    </w:p>
    <w:p>
      <w:pPr>
        <w:spacing w:after="120"/>
      </w:pPr>
      <w:r>
        <w:t xml:space="preserve">6.3 Verwerker ondersteunt Verwerkingsverantwoordelijke bij het beoordelen van doorgiften, waaronder een doorgiftetoetsing (DTIA), door de benodigde informatie over wetgeving en praktijk in het derde land en over de genomen maatregelen te verstrekken.</w:t>
      </w:r>
    </w:p>
    <w:p>
      <w:pPr>
        <w:spacing w:after="120"/>
      </w:pPr>
      <w:r>
        <w:t xml:space="preserve">6.4 Wijzigen de vereisten voor doorgiften, bijvoorbeeld door een uitspraak van het Hof van Justitie of een nieuw of ingetrokken adequaatheidsbesluit, dan neemt Verwerker zo snel mogelijk maatregelen om aan de nieuwe vereisten te voldoen en informeert hij Verwerkingsverantwoordelijke daarover. Lukt dat niet, dan kan Verwerkingsverantwoordelijke de doorgifte laten stoppen of de Hoofdovereenkomst geheel of gedeeltelijk opzeggen.</w:t>
      </w:r>
    </w:p>
    <w:p>
      <w:pPr>
        <w:pStyle w:val="Heading2"/>
      </w:pPr>
      <w:r>
        <w:t xml:space="preserve">Artikel 7. Rechten van betrokkenen</w:t>
      </w:r>
    </w:p>
    <w:p>
      <w:pPr>
        <w:spacing w:after="120"/>
      </w:pPr>
      <w:r>
        <w:t xml:space="preserve">7.1 Verwerker verleent Verwerkingsverantwoordelijke, rekening houdend met de aard van de verwerking, bijstand door middel van passende technische en organisatorische maatregelen bij het beantwoorden van verzoeken van betrokkenen op grond van hoofdstuk III AVG, zoals inzage, rectificatie, wissing, beperking, overdraagbaarheid en bezwaar.</w:t>
      </w:r>
    </w:p>
    <w:p>
      <w:pPr>
        <w:spacing w:after="120"/>
      </w:pPr>
      <w:r>
        <w:t xml:space="preserve">7.2 Ontvangt Verwerker zelf een verzoek van een betrokkene, dan stuurt hij dit binnen </w:t>
      </w:r>
      <w:r>
        <w:rPr>
          <w:highlight w:val="yellow"/>
          <w:highlightCs w:val="yellow"/>
        </w:rPr>
        <w:t xml:space="preserve">[2]</w:t>
      </w:r>
      <w:r>
        <w:t xml:space="preserve"> werkdagen door naar Verwerkingsverantwoordelijke en handelt hij het niet zelf af, tenzij Verwerkingsverantwoordelijke daartoe opdracht geeft.</w:t>
      </w:r>
    </w:p>
    <w:p>
      <w:pPr>
        <w:pStyle w:val="Heading2"/>
      </w:pPr>
      <w:r>
        <w:t xml:space="preserve">Artikel 8. Inbreuken in verband met persoonsgegevens</w:t>
      </w:r>
    </w:p>
    <w:p>
      <w:pPr>
        <w:spacing w:after="120"/>
      </w:pPr>
      <w:r>
        <w:t xml:space="preserve">8.1 Verwerker informeert Verwerkingsverantwoordelijke zonder onredelijke vertraging, en in elk geval binnen </w:t>
      </w:r>
      <w:r>
        <w:rPr>
          <w:highlight w:val="yellow"/>
          <w:highlightCs w:val="yellow"/>
        </w:rPr>
        <w:t xml:space="preserve">[24]</w:t>
      </w:r>
      <w:r>
        <w:t xml:space="preserve"> uur nadat hij er kennis van heeft genomen, over een inbreuk in verband met persoonsgegevens (datalek) of een redelijk vermoeden daarvan, ook als de inbreuk bij een Subverwerker plaatsvindt. De melding gaat naar het contactpunt in Bijlage 1.</w:t>
      </w:r>
    </w:p>
    <w:p>
      <w:pPr>
        <w:spacing w:after="120"/>
      </w:pPr>
      <w:r>
        <w:t xml:space="preserve">8.2 De melding bevat ten minste: de aard van de inbreuk, de categorieën en het geschatte aantal betrokkenen en persoonsgegevensregisters, de waarschijnlijke gevolgen, de genomen en voorgestelde maatregelen, en een contactpersoon. Informatie die nog niet beschikbaar is, levert Verwerker zo snel mogelijk aan zodra die bekend is.</w:t>
      </w:r>
    </w:p>
    <w:p>
      <w:pPr>
        <w:spacing w:after="120"/>
      </w:pPr>
      <w:r>
        <w:t xml:space="preserve">8.3 Verwerker neemt onverwijld maatregelen om de inbreuk te beperken en verleent bijstand bij de melding aan de Autoriteit Persoonsgegevens en, waar nodig, aan betrokkenen. Verwerker meldt zelf niets aan de toezichthouder of betrokkenen namens Verwerkingsverantwoordelijke, tenzij Verwerkingsverantwoordelijke daartoe schriftelijk opdracht geeft.</w:t>
      </w:r>
    </w:p>
    <w:p>
      <w:pPr>
        <w:spacing w:after="120"/>
      </w:pPr>
      <w:r>
        <w:t xml:space="preserve">8.4 Verwerker documenteert alle inbreuken die de Persoonsgegevens betreffen en stelt die documentatie op verzoek ter beschikking.</w:t>
      </w:r>
    </w:p>
    <w:p>
      <w:pPr>
        <w:pStyle w:val="Heading2"/>
      </w:pPr>
      <w:r>
        <w:t xml:space="preserve">Artikel 9. DPIA en voorafgaande raadpleging</w:t>
      </w:r>
    </w:p>
    <w:p>
      <w:pPr>
        <w:spacing w:after="120"/>
      </w:pPr>
      <w:r>
        <w:t xml:space="preserve">9.1 Verwerker verleent, rekening houdend met de aard van de verwerking en de informatie waarover hij beschikt, bijstand bij het nakomen van de verplichtingen uit de artikelen 32 tot en met 36 AVG, waaronder het uitvoeren van een gegevensbeschermingseffectbeoordeling (DPIA) en een eventuele voorafgaande raadpleging van de Autoriteit Persoonsgegevens.</w:t>
      </w:r>
    </w:p>
    <w:p>
      <w:pPr>
        <w:spacing w:after="120"/>
      </w:pPr>
      <w:r>
        <w:t xml:space="preserve">9.2 Verwerker beantwoordt daartoe binnen </w:t>
      </w:r>
      <w:r>
        <w:rPr>
          <w:highlight w:val="yellow"/>
          <w:highlightCs w:val="yellow"/>
        </w:rPr>
        <w:t xml:space="preserve">[10]</w:t>
      </w:r>
      <w:r>
        <w:t xml:space="preserve"> werkdagen redelijke vragen over de werking van de dienst, gegevensstromen, verwerkingslocaties, Subverwerkers, bewaartermijnen en gebruikte AI-functionaliteit.</w:t>
      </w:r>
    </w:p>
    <w:p>
      <w:pPr>
        <w:pStyle w:val="Heading2"/>
      </w:pPr>
      <w:r>
        <w:t xml:space="preserve">Artikel 10. Informatie en audits</w:t>
      </w:r>
    </w:p>
    <w:p>
      <w:pPr>
        <w:spacing w:after="120"/>
      </w:pPr>
      <w:r>
        <w:t xml:space="preserve">10.1 Verwerker stelt Verwerkingsverantwoordelijke alle informatie ter beschikking die nodig is om aan te tonen dat de verplichtingen uit artikel 28 AVG en deze Verwerkersovereenkomst worden nagekomen, waaronder het voor Verwerkingsverantwoordelijke relevante deel van zijn register van verwerkingsactiviteiten (artikel 30 lid 2 AVG).</w:t>
      </w:r>
    </w:p>
    <w:p>
      <w:pPr>
        <w:spacing w:after="120"/>
      </w:pPr>
      <w:r>
        <w:t xml:space="preserve">10.2 Verwerker verstrekt op verzoek </w:t>
      </w:r>
      <w:r>
        <w:rPr>
          <w:highlight w:val="yellow"/>
          <w:highlightCs w:val="yellow"/>
        </w:rPr>
        <w:t xml:space="preserve">[jaarlijks]</w:t>
      </w:r>
      <w:r>
        <w:t xml:space="preserve"> een actueel auditrapport of certificaat van een onafhankelijke deskundige derde, met de reikwijdte daarvan, zoals een ISO/IEC 27001-certificaat met verklaring van toepasselijkheid of een ISAE 3402- of SOC 2 type II-rapport.</w:t>
      </w:r>
    </w:p>
    <w:p>
      <w:pPr>
        <w:spacing w:after="120"/>
      </w:pPr>
      <w:r>
        <w:t xml:space="preserve">10.3 Verwerker maakt audits, waaronder inspecties, door Verwerkingsverantwoordelijke of een door Verwerkingsverantwoordelijke gemachtigde controleur mogelijk en draagt daaraan bij. Verwerkingsverantwoordelijke kondigt een audit ten minste </w:t>
      </w:r>
      <w:r>
        <w:rPr>
          <w:highlight w:val="yellow"/>
          <w:highlightCs w:val="yellow"/>
        </w:rPr>
        <w:t xml:space="preserve">[14]</w:t>
      </w:r>
      <w:r>
        <w:t xml:space="preserve"> dagen vooraf aan, behalve bij een vermoeden van een ernstige tekortkoming. De audit verstoort de bedrijfsvoering van Verwerker niet onredelijk. Verwerkingsverantwoordelijke behandelt de verkregen informatie vertrouwelijk.</w:t>
      </w:r>
    </w:p>
    <w:p>
      <w:pPr>
        <w:spacing w:after="120"/>
      </w:pPr>
      <w:r>
        <w:t xml:space="preserve">10.4 Partijen dragen hun eigen kosten van een audit. Blijkt uit de audit dat Verwerker zijn verplichtingen niet nakomt, dan komen de kosten voor rekening van Verwerker en herstelt Verwerker de tekortkomingen op eigen kosten binnen een redelijke termijn. Verwerker brengt geen kosten in rekening die zo hoog zijn dat zij het auditrecht feitelijk uithollen.</w:t>
      </w:r>
    </w:p>
    <w:p>
      <w:pPr>
        <w:pStyle w:val="Heading2"/>
      </w:pPr>
      <w:r>
        <w:t xml:space="preserve">Artikel 11. Verzoeken van autoriteiten</w:t>
      </w:r>
    </w:p>
    <w:p>
      <w:pPr>
        <w:spacing w:after="120"/>
      </w:pPr>
      <w:r>
        <w:t xml:space="preserve">11.1 Ontvangt Verwerker een verzoek of bevel van een overheidsinstantie om Persoonsgegevens te verstrekken, dan informeert hij Verwerkingsverantwoordelijke onmiddellijk, tenzij dat wettelijk verboden is.</w:t>
      </w:r>
    </w:p>
    <w:p>
      <w:pPr>
        <w:spacing w:after="120"/>
      </w:pPr>
      <w:r>
        <w:t xml:space="preserve">11.2 Komt het verzoek van een instantie of rechter buiten de EER, dan verstrekt Verwerker geen Persoonsgegevens voordat hij de rechtmatigheid heeft getoetst, met Verwerkingsverantwoordelijke heeft overlegd voor zover dat is toegestaan, en alle redelijke rechtsmiddelen heeft benut. Verwerker verstrekt niet meer gegevens dan strikt noodzakelijk.</w:t>
      </w:r>
    </w:p>
    <w:p>
      <w:pPr>
        <w:pStyle w:val="Heading2"/>
      </w:pPr>
      <w:r>
        <w:t xml:space="preserve">Artikel 12. Duur, beëindiging, teruggave en verwijdering</w:t>
      </w:r>
    </w:p>
    <w:p>
      <w:pPr>
        <w:spacing w:after="120"/>
      </w:pPr>
      <w:r>
        <w:t xml:space="preserve">12.1 Deze Verwerkersovereenkomst geldt zolang Verwerker Persoonsgegevens ten behoeve van Verwerkingsverantwoordelijke verwerkt. Is de verwerking eerder begonnen, dan werkt deze Verwerkersovereenkomst terug tot het begin van de verwerking.</w:t>
      </w:r>
    </w:p>
    <w:p>
      <w:pPr>
        <w:spacing w:after="120"/>
      </w:pPr>
      <w:r>
        <w:t xml:space="preserve">12.2 Na afloop van de dienstverlening </w:t>
      </w:r>
      <w:r>
        <w:rPr>
          <w:highlight w:val="yellow"/>
          <w:highlightCs w:val="yellow"/>
        </w:rPr>
        <w:t xml:space="preserve">[KEUZE: wist Verwerker alle Persoonsgegevens / geeft Verwerker alle Persoonsgegevens in een gangbaar, machineleesbaar formaat terug en wist hij daarna alle kopieën]</w:t>
      </w:r>
      <w:r>
        <w:t xml:space="preserve">, binnen </w:t>
      </w:r>
      <w:r>
        <w:rPr>
          <w:highlight w:val="yellow"/>
          <w:highlightCs w:val="yellow"/>
        </w:rPr>
        <w:t xml:space="preserve">[30]</w:t>
      </w:r>
      <w:r>
        <w:t xml:space="preserve"> dagen en ook bij Subverwerkers. Verwerkingsverantwoordelijke kan deze keuze tot het einde van de dienstverlening schriftelijk wijzigen.</w:t>
      </w:r>
    </w:p>
    <w:p>
      <w:pPr>
        <w:spacing w:after="120"/>
      </w:pPr>
      <w:r>
        <w:t xml:space="preserve">12.3 Wissen gebeurt op een veilige wijze die herstel redelijkerwijs onmogelijk maakt. Back-ups worden uiterlijk binnen </w:t>
      </w:r>
      <w:r>
        <w:rPr>
          <w:highlight w:val="yellow"/>
          <w:highlightCs w:val="yellow"/>
        </w:rPr>
        <w:t xml:space="preserve">[termijn]</w:t>
      </w:r>
      <w:r>
        <w:t xml:space="preserve"> na afloop gewist. Verwerker bevestigt de verwijdering schriftelijk.</w:t>
      </w:r>
    </w:p>
    <w:p>
      <w:pPr>
        <w:spacing w:after="120"/>
      </w:pPr>
      <w:r>
        <w:t xml:space="preserve">12.4 Is Verwerker op grond van Unierecht of lidstatelijk recht verplicht bepaalde gegevens langer te bewaren, dan meldt hij welke gegevens, op welke grond en voor hoe lang. Voor die gegevens blijven de verplichtingen uit deze Verwerkersovereenkomst gelden.</w:t>
      </w:r>
    </w:p>
    <w:p>
      <w:pPr>
        <w:pStyle w:val="Heading2"/>
      </w:pPr>
      <w:r>
        <w:t xml:space="preserve">Artikel 13. Aansprakelijkheid</w:t>
      </w:r>
    </w:p>
    <w:p>
      <w:pPr>
        <w:spacing w:after="120"/>
      </w:pPr>
      <w:r>
        <w:t xml:space="preserve">13.1 </w:t>
      </w:r>
      <w:r>
        <w:rPr>
          <w:highlight w:val="yellow"/>
          <w:highlightCs w:val="yellow"/>
        </w:rPr>
        <w:t xml:space="preserve">[KEUZE A]</w:t>
      </w:r>
      <w:r>
        <w:t xml:space="preserve"> De aansprakelijkheidsregeling van de Hoofdovereenkomst is van toepassing, met dien verstande dat een beperking van aansprakelijkheid niet geldt voor schade die het gevolg is van schending van deze Verwerkersovereenkomst of de AVG door Verwerker of zijn Subverwerkers, waaronder boetes en schadevergoedingen aan betrokkenen. </w:t>
      </w:r>
      <w:r>
        <w:rPr>
          <w:highlight w:val="yellow"/>
          <w:highlightCs w:val="yellow"/>
        </w:rPr>
        <w:t xml:space="preserve">[KEUZE B]</w:t>
      </w:r>
      <w:r>
        <w:t xml:space="preserve"> Verwerker is aansprakelijk voor schade als gevolg van een tekortkoming in de nakoming van deze Verwerkersovereenkomst tot een bedrag van </w:t>
      </w:r>
      <w:r>
        <w:rPr>
          <w:highlight w:val="yellow"/>
          <w:highlightCs w:val="yellow"/>
        </w:rPr>
        <w:t xml:space="preserve">[bedrag]</w:t>
      </w:r>
      <w:r>
        <w:t xml:space="preserve"> per gebeurtenis, en houdt daarvoor een passende verzekering aan.</w:t>
      </w:r>
    </w:p>
    <w:p>
      <w:pPr>
        <w:spacing w:after="120"/>
      </w:pPr>
      <w:r>
        <w:t xml:space="preserve">13.2 Artikel 82 AVG over de aansprakelijkheid tegenover betrokkenen blijft onverlet.</w:t>
      </w:r>
    </w:p>
    <w:p>
      <w:pPr>
        <w:pStyle w:val="Heading2"/>
      </w:pPr>
      <w:r>
        <w:t xml:space="preserve">Artikel 14. Wijzigingen</w:t>
      </w:r>
    </w:p>
    <w:p>
      <w:pPr>
        <w:spacing w:after="120"/>
      </w:pPr>
      <w:r>
        <w:t xml:space="preserve">14.1 Wijzigingen van deze Verwerkersovereenkomst zijn alleen geldig als Partijen ze schriftelijk overeenkomen, waaronder in elektronische vorm. Bijlage 1 en de contactgegevens kunnen Partijen in onderling overleg bijwerken. Bijlagen 3 en 4 worden gewijzigd volgens de artikelen 5 en 6.</w:t>
      </w:r>
    </w:p>
    <w:p>
      <w:pPr>
        <w:spacing w:after="120"/>
      </w:pPr>
      <w:r>
        <w:t xml:space="preserve">14.2 Partijen evalueren deze Verwerkersovereenkomst ten minste </w:t>
      </w:r>
      <w:r>
        <w:rPr>
          <w:highlight w:val="yellow"/>
          <w:highlightCs w:val="yellow"/>
        </w:rPr>
        <w:t xml:space="preserve">[eens per twee jaar]</w:t>
      </w:r>
      <w:r>
        <w:t xml:space="preserve"> en bij wezenlijke wijzigingen in de dienst, de verwerkte gegevens of de wetgeving.</w:t>
      </w:r>
    </w:p>
    <w:p>
      <w:pPr>
        <w:pStyle w:val="Heading2"/>
      </w:pPr>
      <w:r>
        <w:t xml:space="preserve">Artikel 15. Toepasselijk recht en geschillen</w:t>
      </w:r>
    </w:p>
    <w:p>
      <w:pPr>
        <w:spacing w:after="120"/>
      </w:pPr>
      <w:r>
        <w:t xml:space="preserve">15.1 Op deze Verwerkersovereenkomst is Nederlands recht van toepassing.</w:t>
      </w:r>
    </w:p>
    <w:p>
      <w:pPr>
        <w:spacing w:after="120"/>
      </w:pPr>
      <w:r>
        <w:t xml:space="preserve">15.2 Geschillen worden voorgelegd aan de bevoegde rechter te </w:t>
      </w:r>
      <w:r>
        <w:rPr>
          <w:highlight w:val="yellow"/>
          <w:highlightCs w:val="yellow"/>
        </w:rPr>
        <w:t xml:space="preserve">[plaats]</w:t>
      </w:r>
      <w:r>
        <w:t xml:space="preserve">, tenzij de Hoofdovereenkomst een andere geschillenregeling bevat die ook voor deze Verwerkersovereenkomst geldt.</w:t>
      </w:r>
    </w:p>
    <w:p>
      <w:pPr>
        <w:pStyle w:val="Heading2"/>
      </w:pPr>
      <w:r>
        <w:t xml:space="preserve">Ondertekening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Verwerkingsverantwoordelijke</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Verwerker</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Naam instelling: </w:t>
            </w:r>
            <w:r>
              <w:rPr>
                <w:highlight w:val="yellow"/>
                <w:highlightCs w:val="yellow"/>
              </w:rPr>
              <w:t xml:space="preserve">[naam]</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Naam leverancier: </w:t>
            </w:r>
            <w:r>
              <w:rPr>
                <w:highlight w:val="yellow"/>
                <w:highlightCs w:val="yellow"/>
              </w:rPr>
              <w:t xml:space="preserve">[naam]</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Naam ondertekenaar: </w:t>
            </w:r>
            <w:r>
              <w:rPr>
                <w:highlight w:val="yellow"/>
                <w:highlightCs w:val="yellow"/>
              </w:rPr>
              <w:t xml:space="preserve">[naam]</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Naam ondertekenaar: </w:t>
            </w:r>
            <w:r>
              <w:rPr>
                <w:highlight w:val="yellow"/>
                <w:highlightCs w:val="yellow"/>
              </w:rPr>
              <w:t xml:space="preserve">[naam]</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Functie: </w:t>
            </w:r>
            <w:r>
              <w:rPr>
                <w:highlight w:val="yellow"/>
                <w:highlightCs w:val="yellow"/>
              </w:rPr>
              <w:t xml:space="preserve">[functie]</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Functie: </w:t>
            </w:r>
            <w:r>
              <w:rPr>
                <w:highlight w:val="yellow"/>
                <w:highlightCs w:val="yellow"/>
              </w:rPr>
              <w:t xml:space="preserve">[functie]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Datum: </w:t>
            </w:r>
            <w:r>
              <w:rPr>
                <w:highlight w:val="yellow"/>
                <w:highlightCs w:val="yellow"/>
              </w:rPr>
              <w:t xml:space="preserve">[datum]</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Datum: </w:t>
            </w:r>
            <w:r>
              <w:rPr>
                <w:highlight w:val="yellow"/>
                <w:highlightCs w:val="yellow"/>
              </w:rPr>
              <w:t xml:space="preserve">[datum]</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Handtekening:</w:t>
            </w:r>
          </w:p>
          <w:p/>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Handtekening:</w:t>
            </w:r>
          </w:p>
          <w:p/>
          <w:p/>
        </w:tc>
      </w:tr>
    </w:tbl>
    <w:p/>
    <w:p>
      <w:pPr>
        <w:pStyle w:val="Heading1"/>
      </w:pPr>
      <w:r>
        <w:t xml:space="preserve">Bijlage 1. Beschrijving van de verwerking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Onderwerp</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Invulling</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Dienst en onderwerp van de verwerking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hosting en beheer van een enquêteplatform voor onderzoek en onderwijsevaluaties]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Duur van de verwerking</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[looptijd Hoofdovereenkomst, van ... tot ...]</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Aard van de verwerkingen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opslaan, raadplegen, analyseren, transcriberen, back-ups maken, wissen]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Doel of doelen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[waarvoor de instelling de dienst gebruikt]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Categorieën betrokkenen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studenten, medewerkers, onderzoeksdeelnemers, alumni, externe gebruikers]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Soorten persoonsgegevens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naam, e-mailadres, studentnummer, antwoorden op vragenlijsten, audio-opnamen, IP-adres, loggegevens]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Bijzondere categorieën of strafrechtelijke gegevens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[ja of nee; zo ja: welke, en welke extra maatregelen gelden]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Gebruik van AI-functionaliteit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[welke functies, welk model of welke aanbieder, en bevestiging dat gegevens niet voor training worden gebruikt]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Bewaartermijnen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[per categorie gegevens, inclusief back-ups en logbestanden]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Verwerkingslocaties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[landen en datacenters waar gegevens worden opgeslagen en waar vandaan toegang plaatsvindt]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Contactpunt Verwerkingsverantwoordelijke (privacy en datalekken)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[naam, functie, e-mail, telefoon; FG: naam en e-mail]</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Contactpunt Verwerker (privacy en datalekken)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[naam, functie, e-mail, telefoon, 24/7-nummer]</w:t>
            </w:r>
          </w:p>
        </w:tc>
      </w:tr>
    </w:tbl>
    <w:p/>
    <w:p>
      <w:pPr>
        <w:spacing w:after="120"/>
      </w:pPr>
      <w:r>
        <w:t xml:space="preserve">Datum laatste wijziging: </w:t>
      </w:r>
      <w:r>
        <w:rPr>
          <w:highlight w:val="yellow"/>
          <w:highlightCs w:val="yellow"/>
        </w:rPr>
        <w:t xml:space="preserve">[datum]</w:t>
      </w:r>
    </w:p>
    <w:p>
      <w:pPr>
        <w:pStyle w:val="Heading1"/>
      </w:pPr>
      <w:r>
        <w:t xml:space="preserve">Bijlage 2. Beveiligingsmaatregelen</w:t>
      </w:r>
    </w:p>
    <w:p>
      <w:pPr>
        <w:spacing w:after="120"/>
      </w:pPr>
      <w:r>
        <w:t xml:space="preserve">Beschrijf de maatregelen concreet of verwijs naar de exacte plaats in een bijgevoegd document. Vermeld bij certificaten de reikwijdte en geldigheidsduur. Neemt Verwerker een maatregel niet of gedeeltelijk, licht dit dan toe.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27"/>
        <w:gridCol w:w="3971"/>
        <w:gridCol w:w="2527"/>
      </w:tblGrid>
      <w:tr>
        <w:trPr>
          <w:tblHeader/>
        </w:trPr>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Onderwerp</w:t>
            </w:r>
          </w:p>
        </w:tc>
        <w:tc>
          <w:tcPr>
            <w:tcW w:type="dxa" w:w="3971"/>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Maatregel bij Verwerker</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Bewijs of toelichting</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Informatiebeveiligingsbeleid en certificering</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ISO/IEC 27001, reikwijdte, geldig tot]</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[certificaat, verklaring van toepasselijkheid]</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Toegangsbeheer en authenticatie</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[rolgebaseerde toegang, least privilege, multifactorauthenticatie voor beheerders, SSO via SURFconext indien van toepassing]</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Versleuteling tijdens transport</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TLS 1.2 of hoger]</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Versleuteling in opslag en sleutelbeheer</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[algoritme, wie beheert de sleutels]</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Logging en monitoring</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[welke gebeurtenissen, bewaartermijn logs, wie heeft toegang]</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Back-up en herstel</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[frequentie, locatie, getest herstel]</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Kwetsbaarheden- en patchbeheer</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[termijnen, penetratietests en frequentie]</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Scheiding van klantgegevens</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[logische of fysieke scheiding]</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Personeel</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[screening, geheimhouding, bewustwordingstraining]</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Fysieke beveiliging datacenters</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[certificering datacenter of hostingpartij]</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Incidentrespons</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[procedure, bereikbaarheid, meldtermijnen]</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Bedrijfscontinuïteit</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[uitwijk, hersteltijd en herstelpunt]</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Veilige ontwikkeling en wijzigingsbeheer</w:t>
            </w:r>
          </w:p>
        </w:tc>
        <w:tc>
          <w:tcPr>
            <w:tcW w:type="dxa" w:w="3971"/>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[code review, testomgeving zonder productiegegevens]</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t xml:space="preserve">Datum laatste wijziging: </w:t>
      </w:r>
      <w:r>
        <w:rPr>
          <w:highlight w:val="yellow"/>
          <w:highlightCs w:val="yellow"/>
        </w:rPr>
        <w:t xml:space="preserve">[datum]</w:t>
      </w:r>
    </w:p>
    <w:p>
      <w:pPr>
        <w:pStyle w:val="Heading1"/>
      </w:pPr>
      <w:r>
        <w:t xml:space="preserve">Bijlage 3. Subverwerkers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1625"/>
        <w:gridCol w:w="1805"/>
        <w:gridCol w:w="1444"/>
        <w:gridCol w:w="2166"/>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Naam en vestigingsplaats</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Taak of dienst</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Soorten persoonsgegevens</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Verwerkingslocatie</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Doorgifte-instrument (indien buiten EER)</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[naam, plaats, land]</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hosting]</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 of regio]</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[n.v.t. / adequaatheidsbesluit / SCC 2021/914 module ... / BCR]</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t xml:space="preserve">Datum laatste wijziging: </w:t>
      </w:r>
      <w:r>
        <w:rPr>
          <w:highlight w:val="yellow"/>
          <w:highlightCs w:val="yellow"/>
        </w:rPr>
        <w:t xml:space="preserve">[datum]</w:t>
      </w:r>
    </w:p>
    <w:p>
      <w:pPr>
        <w:pStyle w:val="Heading1"/>
      </w:pPr>
      <w:r>
        <w:t xml:space="preserve">Bijlage 4. Doorgiften naar derde landen</w:t>
      </w:r>
    </w:p>
    <w:p>
      <w:pPr>
        <w:spacing w:after="120"/>
      </w:pPr>
      <w:r>
        <w:t xml:space="preserve">Vul in als Persoonsgegevens buiten de EER worden verwerkt of van daaruit toegankelijk zijn, ook via Subverwerkers of gelieerde ondernemingen. Staat hier niets, dan vinden geen doorgiften plaats.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25"/>
        <w:gridCol w:w="1986"/>
        <w:gridCol w:w="2166"/>
        <w:gridCol w:w="1986"/>
        <w:gridCol w:w="1264"/>
      </w:tblGrid>
      <w:tr>
        <w:trPr>
          <w:tblHeader/>
        </w:trPr>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Ontvanger en land</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Doel en aard van de doorgifte</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Doorgifte-instrument</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Aanvullende maatregelen</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Datum doorgiftetoetsing (DTIA)</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[naam, land]</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technische ondersteuning op afstand]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[adequaatheidsbesluit (bijv. EU-US Data Privacy Framework, met certificering van de ontvanger) / SCC 2021/914 / BCR]</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[bijvoorbeeld: versleuteling met sleutels in de EER, pseudonimisering]</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[datum, referentie]</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t xml:space="preserve">Datum laatste wijziging: </w:t>
      </w:r>
      <w:r>
        <w:rPr>
          <w:highlight w:val="yellow"/>
          <w:highlightCs w:val="yellow"/>
        </w:rPr>
        <w:t xml:space="preserve">[datum]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Model van validemic.com. Geen juridisch advies: laat het vóór gebruik beoordelen door de jurist of FG van uw instelling.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dc:title>
  <dc:creator>Validemic</dc:creator>
  <cp:lastModifiedBy>Un-named</cp:lastModifiedBy>
  <cp:revision>1</cp:revision>
  <dcterms:created xsi:type="dcterms:W3CDTF">2026-10-07T02:31:33.107Z</dcterms:created>
  <dcterms:modified xsi:type="dcterms:W3CDTF">2026-10-07T02:31:33.107Z</dcterms:modified>
</cp:coreProperties>
</file>

<file path=docProps/custom.xml><?xml version="1.0" encoding="utf-8"?>
<Properties xmlns="http://schemas.openxmlformats.org/officeDocument/2006/custom-properties" xmlns:vt="http://schemas.openxmlformats.org/officeDocument/2006/docPropsVTypes"/>
</file>